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058C0" w14:textId="77777777" w:rsidR="00BF10A6" w:rsidRPr="00F658E7" w:rsidRDefault="00BF10A6" w:rsidP="0012782C">
      <w:pPr>
        <w:pStyle w:val="Default"/>
        <w:rPr>
          <w:rFonts w:ascii="Calibri" w:hAnsi="Calibri" w:cs="Calibri"/>
          <w:color w:val="auto"/>
        </w:rPr>
      </w:pPr>
      <w:bookmarkStart w:id="0" w:name="_GoBack"/>
      <w:bookmarkEnd w:id="0"/>
    </w:p>
    <w:p w14:paraId="688E9D5C" w14:textId="7B467811" w:rsidR="007D6DF7" w:rsidRPr="00F658E7" w:rsidRDefault="00E46554" w:rsidP="0012782C">
      <w:pPr>
        <w:pStyle w:val="Default"/>
        <w:jc w:val="center"/>
        <w:rPr>
          <w:rFonts w:ascii="Calibri" w:hAnsi="Calibri" w:cs="Calibri"/>
          <w:b/>
          <w:bCs/>
          <w:color w:val="auto"/>
          <w:sz w:val="44"/>
          <w:szCs w:val="44"/>
        </w:rPr>
      </w:pPr>
      <w:r w:rsidRPr="00F658E7">
        <w:rPr>
          <w:rFonts w:ascii="Calibri" w:hAnsi="Calibri" w:cs="Calibri"/>
          <w:b/>
          <w:bCs/>
          <w:color w:val="auto"/>
          <w:sz w:val="44"/>
          <w:szCs w:val="44"/>
        </w:rPr>
        <w:t>THE UNIVERSITY OF WAIKATO</w:t>
      </w:r>
    </w:p>
    <w:p w14:paraId="5995209D" w14:textId="77777777" w:rsidR="00E46554" w:rsidRPr="00F658E7" w:rsidRDefault="00E46554" w:rsidP="0012782C">
      <w:pPr>
        <w:pStyle w:val="Default"/>
        <w:jc w:val="center"/>
        <w:rPr>
          <w:rFonts w:ascii="Calibri" w:hAnsi="Calibri" w:cs="Calibri"/>
          <w:b/>
          <w:bCs/>
          <w:color w:val="auto"/>
          <w:sz w:val="44"/>
          <w:szCs w:val="44"/>
        </w:rPr>
      </w:pPr>
    </w:p>
    <w:p w14:paraId="72EB24F0" w14:textId="26CA1243" w:rsidR="00E46554" w:rsidRPr="00F658E7" w:rsidRDefault="00E46554" w:rsidP="0012782C">
      <w:pPr>
        <w:pStyle w:val="Default"/>
        <w:jc w:val="center"/>
        <w:rPr>
          <w:rFonts w:ascii="Calibri" w:hAnsi="Calibri" w:cs="Calibri"/>
          <w:b/>
          <w:bCs/>
          <w:color w:val="auto"/>
          <w:sz w:val="44"/>
          <w:szCs w:val="44"/>
        </w:rPr>
      </w:pPr>
      <w:proofErr w:type="spellStart"/>
      <w:r w:rsidRPr="00F658E7">
        <w:rPr>
          <w:rFonts w:ascii="Calibri" w:hAnsi="Calibri" w:cs="Calibri"/>
          <w:b/>
          <w:bCs/>
          <w:color w:val="auto"/>
          <w:sz w:val="44"/>
          <w:szCs w:val="44"/>
        </w:rPr>
        <w:t>Te</w:t>
      </w:r>
      <w:proofErr w:type="spellEnd"/>
      <w:r w:rsidRPr="00F658E7">
        <w:rPr>
          <w:rFonts w:ascii="Calibri" w:hAnsi="Calibri" w:cs="Calibri"/>
          <w:b/>
          <w:bCs/>
          <w:color w:val="auto"/>
          <w:sz w:val="44"/>
          <w:szCs w:val="44"/>
        </w:rPr>
        <w:t xml:space="preserve"> </w:t>
      </w:r>
      <w:proofErr w:type="spellStart"/>
      <w:r w:rsidRPr="00F658E7">
        <w:rPr>
          <w:rFonts w:ascii="Calibri" w:hAnsi="Calibri" w:cs="Calibri"/>
          <w:b/>
          <w:bCs/>
          <w:color w:val="auto"/>
          <w:sz w:val="44"/>
          <w:szCs w:val="44"/>
        </w:rPr>
        <w:t>Whare</w:t>
      </w:r>
      <w:proofErr w:type="spellEnd"/>
      <w:r w:rsidRPr="00F658E7">
        <w:rPr>
          <w:rFonts w:ascii="Calibri" w:hAnsi="Calibri" w:cs="Calibri"/>
          <w:b/>
          <w:bCs/>
          <w:color w:val="auto"/>
          <w:sz w:val="44"/>
          <w:szCs w:val="44"/>
        </w:rPr>
        <w:t xml:space="preserve"> Wānanga o Waikato</w:t>
      </w:r>
      <w:r w:rsidRPr="00F658E7">
        <w:rPr>
          <w:rFonts w:ascii="Calibri" w:hAnsi="Calibri" w:cs="Calibri"/>
          <w:b/>
          <w:bCs/>
          <w:noProof/>
          <w:color w:val="auto"/>
          <w:sz w:val="44"/>
          <w:szCs w:val="44"/>
        </w:rPr>
        <w:t xml:space="preserve"> </w:t>
      </w:r>
    </w:p>
    <w:p w14:paraId="256F337D" w14:textId="5FFCB13E" w:rsidR="007D6DF7" w:rsidRPr="00F658E7" w:rsidRDefault="00E46554" w:rsidP="0012782C">
      <w:pPr>
        <w:pStyle w:val="Default"/>
        <w:jc w:val="center"/>
        <w:rPr>
          <w:rFonts w:ascii="Calibri" w:hAnsi="Calibri" w:cs="Calibri"/>
          <w:b/>
          <w:bCs/>
          <w:color w:val="auto"/>
          <w:sz w:val="28"/>
          <w:szCs w:val="28"/>
        </w:rPr>
      </w:pPr>
      <w:r>
        <w:rPr>
          <w:rFonts w:ascii="Calibri" w:hAnsi="Calibri" w:cs="Calibri"/>
          <w:b/>
          <w:bCs/>
          <w:noProof/>
          <w:color w:val="auto"/>
          <w:sz w:val="28"/>
          <w:szCs w:val="28"/>
        </w:rPr>
        <w:drawing>
          <wp:inline distT="0" distB="0" distL="0" distR="0" wp14:anchorId="7C288165" wp14:editId="12B3A78C">
            <wp:extent cx="2837415" cy="3676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ik_Word_RGB_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1641" cy="3695084"/>
                    </a:xfrm>
                    <a:prstGeom prst="rect">
                      <a:avLst/>
                    </a:prstGeom>
                  </pic:spPr>
                </pic:pic>
              </a:graphicData>
            </a:graphic>
          </wp:inline>
        </w:drawing>
      </w:r>
    </w:p>
    <w:p w14:paraId="68407406" w14:textId="77777777" w:rsidR="00E46554" w:rsidRDefault="00E46554" w:rsidP="0012782C">
      <w:pPr>
        <w:pStyle w:val="Default"/>
        <w:tabs>
          <w:tab w:val="left" w:pos="8344"/>
        </w:tabs>
        <w:jc w:val="center"/>
        <w:rPr>
          <w:rFonts w:ascii="Calibri" w:hAnsi="Calibri" w:cs="Calibri"/>
          <w:b/>
          <w:bCs/>
          <w:color w:val="auto"/>
          <w:sz w:val="28"/>
          <w:szCs w:val="28"/>
        </w:rPr>
      </w:pPr>
    </w:p>
    <w:p w14:paraId="10B30ABF" w14:textId="7EEB798F" w:rsidR="00EB6420" w:rsidRPr="00F658E7" w:rsidRDefault="00BF10A6" w:rsidP="0012782C">
      <w:pPr>
        <w:pStyle w:val="Default"/>
        <w:tabs>
          <w:tab w:val="left" w:pos="8344"/>
        </w:tabs>
        <w:jc w:val="center"/>
        <w:rPr>
          <w:rFonts w:ascii="Calibri" w:hAnsi="Calibri" w:cs="Calibri"/>
          <w:b/>
          <w:bCs/>
          <w:color w:val="auto"/>
          <w:sz w:val="40"/>
          <w:szCs w:val="40"/>
        </w:rPr>
      </w:pPr>
      <w:r w:rsidRPr="00F658E7">
        <w:rPr>
          <w:rFonts w:ascii="Calibri" w:hAnsi="Calibri" w:cs="Calibri"/>
          <w:b/>
          <w:bCs/>
          <w:color w:val="auto"/>
          <w:sz w:val="40"/>
          <w:szCs w:val="40"/>
        </w:rPr>
        <w:t>Disability Action Plan 2023-</w:t>
      </w:r>
      <w:r w:rsidR="00B4480D" w:rsidRPr="00F658E7">
        <w:rPr>
          <w:rFonts w:ascii="Calibri" w:hAnsi="Calibri" w:cs="Calibri"/>
          <w:b/>
          <w:bCs/>
          <w:color w:val="auto"/>
          <w:sz w:val="40"/>
          <w:szCs w:val="40"/>
        </w:rPr>
        <w:t>2025</w:t>
      </w:r>
    </w:p>
    <w:p w14:paraId="5D6B4748" w14:textId="77777777" w:rsidR="00EB6420" w:rsidRPr="00F658E7" w:rsidRDefault="00EB6420" w:rsidP="0012782C">
      <w:pPr>
        <w:pStyle w:val="Default"/>
        <w:tabs>
          <w:tab w:val="left" w:pos="8344"/>
        </w:tabs>
        <w:jc w:val="both"/>
        <w:rPr>
          <w:rFonts w:ascii="Calibri" w:hAnsi="Calibri" w:cs="Calibri"/>
          <w:b/>
          <w:bCs/>
          <w:color w:val="auto"/>
          <w:sz w:val="28"/>
          <w:szCs w:val="28"/>
        </w:rPr>
      </w:pPr>
    </w:p>
    <w:sdt>
      <w:sdtPr>
        <w:rPr>
          <w:rFonts w:asciiTheme="minorHAnsi" w:eastAsiaTheme="minorEastAsia" w:hAnsiTheme="minorHAnsi" w:cstheme="minorBidi"/>
          <w:color w:val="auto"/>
          <w:sz w:val="22"/>
          <w:szCs w:val="22"/>
          <w:lang w:val="en-NZ" w:eastAsia="zh-CN"/>
        </w:rPr>
        <w:id w:val="152412986"/>
        <w:docPartObj>
          <w:docPartGallery w:val="Table of Contents"/>
          <w:docPartUnique/>
        </w:docPartObj>
      </w:sdtPr>
      <w:sdtEndPr>
        <w:rPr>
          <w:b/>
          <w:bCs/>
          <w:noProof/>
        </w:rPr>
      </w:sdtEndPr>
      <w:sdtContent>
        <w:p w14:paraId="45A7E583" w14:textId="77777777" w:rsidR="00E46554" w:rsidRDefault="00E46554" w:rsidP="0012782C">
          <w:pPr>
            <w:pStyle w:val="TOCHeading"/>
            <w:spacing w:line="240" w:lineRule="auto"/>
            <w:rPr>
              <w:rFonts w:asciiTheme="minorHAnsi" w:eastAsiaTheme="minorEastAsia" w:hAnsiTheme="minorHAnsi" w:cstheme="minorBidi"/>
              <w:color w:val="auto"/>
              <w:sz w:val="22"/>
              <w:szCs w:val="22"/>
              <w:lang w:val="en-NZ" w:eastAsia="zh-CN"/>
            </w:rPr>
          </w:pPr>
        </w:p>
        <w:p w14:paraId="479CCECE" w14:textId="77777777" w:rsidR="00E46554" w:rsidRDefault="00E46554" w:rsidP="0012782C">
          <w:pPr>
            <w:spacing w:line="240" w:lineRule="auto"/>
          </w:pPr>
          <w:r>
            <w:br w:type="page"/>
          </w:r>
        </w:p>
        <w:p w14:paraId="45FAA68D" w14:textId="551CA96E" w:rsidR="00665038" w:rsidRPr="00F658E7" w:rsidRDefault="00665038" w:rsidP="0012782C">
          <w:pPr>
            <w:pStyle w:val="TOCHeading"/>
            <w:spacing w:line="240" w:lineRule="auto"/>
            <w:rPr>
              <w:color w:val="auto"/>
            </w:rPr>
          </w:pPr>
          <w:r w:rsidRPr="00F658E7">
            <w:rPr>
              <w:color w:val="auto"/>
            </w:rPr>
            <w:lastRenderedPageBreak/>
            <w:t>Table of Contents</w:t>
          </w:r>
        </w:p>
        <w:p w14:paraId="1E5641DC" w14:textId="4275A919" w:rsidR="00EB53BE" w:rsidRDefault="00665038">
          <w:pPr>
            <w:pStyle w:val="TOC1"/>
            <w:tabs>
              <w:tab w:val="right" w:leader="dot" w:pos="9016"/>
            </w:tabs>
            <w:rPr>
              <w:noProof/>
            </w:rPr>
          </w:pPr>
          <w:r w:rsidRPr="00665B84">
            <w:fldChar w:fldCharType="begin"/>
          </w:r>
          <w:r w:rsidRPr="00D910F0">
            <w:instrText xml:space="preserve"> TOC \o "1-3" \h \z \u </w:instrText>
          </w:r>
          <w:r w:rsidRPr="00665B84">
            <w:fldChar w:fldCharType="separate"/>
          </w:r>
          <w:hyperlink w:anchor="_Toc120609549" w:history="1">
            <w:r w:rsidR="00EB53BE" w:rsidRPr="00D62699">
              <w:rPr>
                <w:rStyle w:val="Hyperlink"/>
                <w:noProof/>
              </w:rPr>
              <w:t>1. Context</w:t>
            </w:r>
            <w:r w:rsidR="00EB53BE">
              <w:rPr>
                <w:noProof/>
                <w:webHidden/>
              </w:rPr>
              <w:tab/>
            </w:r>
            <w:r w:rsidR="00EB53BE">
              <w:rPr>
                <w:noProof/>
                <w:webHidden/>
              </w:rPr>
              <w:fldChar w:fldCharType="begin"/>
            </w:r>
            <w:r w:rsidR="00EB53BE">
              <w:rPr>
                <w:noProof/>
                <w:webHidden/>
              </w:rPr>
              <w:instrText xml:space="preserve"> PAGEREF _Toc120609549 \h </w:instrText>
            </w:r>
            <w:r w:rsidR="00EB53BE">
              <w:rPr>
                <w:noProof/>
                <w:webHidden/>
              </w:rPr>
            </w:r>
            <w:r w:rsidR="00EB53BE">
              <w:rPr>
                <w:noProof/>
                <w:webHidden/>
              </w:rPr>
              <w:fldChar w:fldCharType="separate"/>
            </w:r>
            <w:r w:rsidR="00684AAC">
              <w:rPr>
                <w:noProof/>
                <w:webHidden/>
              </w:rPr>
              <w:t>3</w:t>
            </w:r>
            <w:r w:rsidR="00EB53BE">
              <w:rPr>
                <w:noProof/>
                <w:webHidden/>
              </w:rPr>
              <w:fldChar w:fldCharType="end"/>
            </w:r>
          </w:hyperlink>
        </w:p>
        <w:p w14:paraId="6E296804" w14:textId="39BB0C57" w:rsidR="00EB53BE" w:rsidRDefault="00F300B2">
          <w:pPr>
            <w:pStyle w:val="TOC2"/>
            <w:tabs>
              <w:tab w:val="left" w:pos="880"/>
              <w:tab w:val="right" w:leader="dot" w:pos="9016"/>
            </w:tabs>
            <w:rPr>
              <w:noProof/>
            </w:rPr>
          </w:pPr>
          <w:hyperlink w:anchor="_Toc120609550" w:history="1">
            <w:r w:rsidR="00EB53BE" w:rsidRPr="00D62699">
              <w:rPr>
                <w:rStyle w:val="Hyperlink"/>
                <w:noProof/>
              </w:rPr>
              <w:t>1.1</w:t>
            </w:r>
            <w:r w:rsidR="00EB53BE">
              <w:rPr>
                <w:noProof/>
              </w:rPr>
              <w:tab/>
            </w:r>
            <w:r w:rsidR="00EB53BE" w:rsidRPr="00D62699">
              <w:rPr>
                <w:rStyle w:val="Hyperlink"/>
                <w:noProof/>
                <w:shd w:val="clear" w:color="auto" w:fill="FFFFFF"/>
              </w:rPr>
              <w:t>A snapshot of disabled learners at Waikato</w:t>
            </w:r>
            <w:r w:rsidR="00EB53BE">
              <w:rPr>
                <w:noProof/>
                <w:webHidden/>
              </w:rPr>
              <w:tab/>
            </w:r>
            <w:r w:rsidR="00EB53BE">
              <w:rPr>
                <w:noProof/>
                <w:webHidden/>
              </w:rPr>
              <w:fldChar w:fldCharType="begin"/>
            </w:r>
            <w:r w:rsidR="00EB53BE">
              <w:rPr>
                <w:noProof/>
                <w:webHidden/>
              </w:rPr>
              <w:instrText xml:space="preserve"> PAGEREF _Toc120609550 \h </w:instrText>
            </w:r>
            <w:r w:rsidR="00EB53BE">
              <w:rPr>
                <w:noProof/>
                <w:webHidden/>
              </w:rPr>
            </w:r>
            <w:r w:rsidR="00EB53BE">
              <w:rPr>
                <w:noProof/>
                <w:webHidden/>
              </w:rPr>
              <w:fldChar w:fldCharType="separate"/>
            </w:r>
            <w:r w:rsidR="00684AAC">
              <w:rPr>
                <w:noProof/>
                <w:webHidden/>
              </w:rPr>
              <w:t>4</w:t>
            </w:r>
            <w:r w:rsidR="00EB53BE">
              <w:rPr>
                <w:noProof/>
                <w:webHidden/>
              </w:rPr>
              <w:fldChar w:fldCharType="end"/>
            </w:r>
          </w:hyperlink>
        </w:p>
        <w:p w14:paraId="45884C27" w14:textId="28F5E0D9" w:rsidR="00EB53BE" w:rsidRDefault="00F300B2">
          <w:pPr>
            <w:pStyle w:val="TOC3"/>
            <w:tabs>
              <w:tab w:val="right" w:leader="dot" w:pos="9016"/>
            </w:tabs>
            <w:rPr>
              <w:noProof/>
            </w:rPr>
          </w:pPr>
          <w:hyperlink w:anchor="_Toc120609551" w:history="1">
            <w:r w:rsidR="00EB53BE" w:rsidRPr="00D62699">
              <w:rPr>
                <w:rStyle w:val="Hyperlink"/>
                <w:noProof/>
              </w:rPr>
              <w:t>1.1.1 Enrolments</w:t>
            </w:r>
            <w:r w:rsidR="00EB53BE">
              <w:rPr>
                <w:noProof/>
                <w:webHidden/>
              </w:rPr>
              <w:tab/>
            </w:r>
            <w:r w:rsidR="00EB53BE">
              <w:rPr>
                <w:noProof/>
                <w:webHidden/>
              </w:rPr>
              <w:fldChar w:fldCharType="begin"/>
            </w:r>
            <w:r w:rsidR="00EB53BE">
              <w:rPr>
                <w:noProof/>
                <w:webHidden/>
              </w:rPr>
              <w:instrText xml:space="preserve"> PAGEREF _Toc120609551 \h </w:instrText>
            </w:r>
            <w:r w:rsidR="00EB53BE">
              <w:rPr>
                <w:noProof/>
                <w:webHidden/>
              </w:rPr>
            </w:r>
            <w:r w:rsidR="00EB53BE">
              <w:rPr>
                <w:noProof/>
                <w:webHidden/>
              </w:rPr>
              <w:fldChar w:fldCharType="separate"/>
            </w:r>
            <w:r w:rsidR="00684AAC">
              <w:rPr>
                <w:noProof/>
                <w:webHidden/>
              </w:rPr>
              <w:t>4</w:t>
            </w:r>
            <w:r w:rsidR="00EB53BE">
              <w:rPr>
                <w:noProof/>
                <w:webHidden/>
              </w:rPr>
              <w:fldChar w:fldCharType="end"/>
            </w:r>
          </w:hyperlink>
        </w:p>
        <w:p w14:paraId="18DE40D3" w14:textId="05676525" w:rsidR="00EB53BE" w:rsidRDefault="00F300B2">
          <w:pPr>
            <w:pStyle w:val="TOC3"/>
            <w:tabs>
              <w:tab w:val="right" w:leader="dot" w:pos="9016"/>
            </w:tabs>
            <w:rPr>
              <w:noProof/>
            </w:rPr>
          </w:pPr>
          <w:hyperlink w:anchor="_Toc120609552" w:history="1">
            <w:r w:rsidR="00EB53BE" w:rsidRPr="00D62699">
              <w:rPr>
                <w:rStyle w:val="Hyperlink"/>
                <w:rFonts w:cstheme="minorHAnsi"/>
                <w:noProof/>
                <w:shd w:val="clear" w:color="auto" w:fill="FFFFFF"/>
              </w:rPr>
              <w:t>A slightly higher proportion of Māori students reported having a disability than the total student population, with a lower proportion of Pacific students reporting disabilities.</w:t>
            </w:r>
            <w:r w:rsidR="00EB53BE">
              <w:rPr>
                <w:noProof/>
                <w:webHidden/>
              </w:rPr>
              <w:tab/>
            </w:r>
            <w:r w:rsidR="00EB53BE">
              <w:rPr>
                <w:noProof/>
                <w:webHidden/>
              </w:rPr>
              <w:fldChar w:fldCharType="begin"/>
            </w:r>
            <w:r w:rsidR="00EB53BE">
              <w:rPr>
                <w:noProof/>
                <w:webHidden/>
              </w:rPr>
              <w:instrText xml:space="preserve"> PAGEREF _Toc120609552 \h </w:instrText>
            </w:r>
            <w:r w:rsidR="00EB53BE">
              <w:rPr>
                <w:noProof/>
                <w:webHidden/>
              </w:rPr>
            </w:r>
            <w:r w:rsidR="00EB53BE">
              <w:rPr>
                <w:noProof/>
                <w:webHidden/>
              </w:rPr>
              <w:fldChar w:fldCharType="separate"/>
            </w:r>
            <w:r w:rsidR="00684AAC">
              <w:rPr>
                <w:noProof/>
                <w:webHidden/>
              </w:rPr>
              <w:t>5</w:t>
            </w:r>
            <w:r w:rsidR="00EB53BE">
              <w:rPr>
                <w:noProof/>
                <w:webHidden/>
              </w:rPr>
              <w:fldChar w:fldCharType="end"/>
            </w:r>
          </w:hyperlink>
        </w:p>
        <w:p w14:paraId="21698B29" w14:textId="138D6A03" w:rsidR="00EB53BE" w:rsidRDefault="00F300B2">
          <w:pPr>
            <w:pStyle w:val="TOC3"/>
            <w:tabs>
              <w:tab w:val="right" w:leader="dot" w:pos="9016"/>
            </w:tabs>
            <w:rPr>
              <w:noProof/>
            </w:rPr>
          </w:pPr>
          <w:hyperlink w:anchor="_Toc120609553" w:history="1">
            <w:r w:rsidR="00EB53BE" w:rsidRPr="00D62699">
              <w:rPr>
                <w:rStyle w:val="Hyperlink"/>
                <w:noProof/>
                <w:shd w:val="clear" w:color="auto" w:fill="FFFFFF"/>
              </w:rPr>
              <w:t>1.1.2 Course completion rates</w:t>
            </w:r>
            <w:r w:rsidR="00EB53BE">
              <w:rPr>
                <w:noProof/>
                <w:webHidden/>
              </w:rPr>
              <w:tab/>
            </w:r>
            <w:r w:rsidR="00EB53BE">
              <w:rPr>
                <w:noProof/>
                <w:webHidden/>
              </w:rPr>
              <w:fldChar w:fldCharType="begin"/>
            </w:r>
            <w:r w:rsidR="00EB53BE">
              <w:rPr>
                <w:noProof/>
                <w:webHidden/>
              </w:rPr>
              <w:instrText xml:space="preserve"> PAGEREF _Toc120609553 \h </w:instrText>
            </w:r>
            <w:r w:rsidR="00EB53BE">
              <w:rPr>
                <w:noProof/>
                <w:webHidden/>
              </w:rPr>
            </w:r>
            <w:r w:rsidR="00EB53BE">
              <w:rPr>
                <w:noProof/>
                <w:webHidden/>
              </w:rPr>
              <w:fldChar w:fldCharType="separate"/>
            </w:r>
            <w:r w:rsidR="00684AAC">
              <w:rPr>
                <w:noProof/>
                <w:webHidden/>
              </w:rPr>
              <w:t>6</w:t>
            </w:r>
            <w:r w:rsidR="00EB53BE">
              <w:rPr>
                <w:noProof/>
                <w:webHidden/>
              </w:rPr>
              <w:fldChar w:fldCharType="end"/>
            </w:r>
          </w:hyperlink>
        </w:p>
        <w:p w14:paraId="690C79AF" w14:textId="3D3BAD4B" w:rsidR="00EB53BE" w:rsidRDefault="00F300B2">
          <w:pPr>
            <w:pStyle w:val="TOC3"/>
            <w:tabs>
              <w:tab w:val="right" w:leader="dot" w:pos="9016"/>
            </w:tabs>
            <w:rPr>
              <w:noProof/>
            </w:rPr>
          </w:pPr>
          <w:hyperlink w:anchor="_Toc120609554" w:history="1">
            <w:r w:rsidR="00EB53BE" w:rsidRPr="00D62699">
              <w:rPr>
                <w:rStyle w:val="Hyperlink"/>
                <w:noProof/>
              </w:rPr>
              <w:t>1.1.3 Retention rates</w:t>
            </w:r>
            <w:r w:rsidR="00EB53BE">
              <w:rPr>
                <w:noProof/>
                <w:webHidden/>
              </w:rPr>
              <w:tab/>
            </w:r>
            <w:r w:rsidR="00EB53BE">
              <w:rPr>
                <w:noProof/>
                <w:webHidden/>
              </w:rPr>
              <w:fldChar w:fldCharType="begin"/>
            </w:r>
            <w:r w:rsidR="00EB53BE">
              <w:rPr>
                <w:noProof/>
                <w:webHidden/>
              </w:rPr>
              <w:instrText xml:space="preserve"> PAGEREF _Toc120609554 \h </w:instrText>
            </w:r>
            <w:r w:rsidR="00EB53BE">
              <w:rPr>
                <w:noProof/>
                <w:webHidden/>
              </w:rPr>
            </w:r>
            <w:r w:rsidR="00EB53BE">
              <w:rPr>
                <w:noProof/>
                <w:webHidden/>
              </w:rPr>
              <w:fldChar w:fldCharType="separate"/>
            </w:r>
            <w:r w:rsidR="00684AAC">
              <w:rPr>
                <w:noProof/>
                <w:webHidden/>
              </w:rPr>
              <w:t>6</w:t>
            </w:r>
            <w:r w:rsidR="00EB53BE">
              <w:rPr>
                <w:noProof/>
                <w:webHidden/>
              </w:rPr>
              <w:fldChar w:fldCharType="end"/>
            </w:r>
          </w:hyperlink>
        </w:p>
        <w:p w14:paraId="1EA52DF4" w14:textId="39336BAB" w:rsidR="00EB53BE" w:rsidRDefault="00F300B2">
          <w:pPr>
            <w:pStyle w:val="TOC3"/>
            <w:tabs>
              <w:tab w:val="right" w:leader="dot" w:pos="9016"/>
            </w:tabs>
            <w:rPr>
              <w:noProof/>
            </w:rPr>
          </w:pPr>
          <w:hyperlink w:anchor="_Toc120609555" w:history="1">
            <w:r w:rsidR="00EB53BE" w:rsidRPr="00D62699">
              <w:rPr>
                <w:rStyle w:val="Hyperlink"/>
                <w:noProof/>
                <w:shd w:val="clear" w:color="auto" w:fill="FFFFFF"/>
              </w:rPr>
              <w:t>1.1.4 Accessibility services data</w:t>
            </w:r>
            <w:r w:rsidR="00EB53BE">
              <w:rPr>
                <w:noProof/>
                <w:webHidden/>
              </w:rPr>
              <w:tab/>
            </w:r>
            <w:r w:rsidR="00EB53BE">
              <w:rPr>
                <w:noProof/>
                <w:webHidden/>
              </w:rPr>
              <w:fldChar w:fldCharType="begin"/>
            </w:r>
            <w:r w:rsidR="00EB53BE">
              <w:rPr>
                <w:noProof/>
                <w:webHidden/>
              </w:rPr>
              <w:instrText xml:space="preserve"> PAGEREF _Toc120609555 \h </w:instrText>
            </w:r>
            <w:r w:rsidR="00EB53BE">
              <w:rPr>
                <w:noProof/>
                <w:webHidden/>
              </w:rPr>
            </w:r>
            <w:r w:rsidR="00EB53BE">
              <w:rPr>
                <w:noProof/>
                <w:webHidden/>
              </w:rPr>
              <w:fldChar w:fldCharType="separate"/>
            </w:r>
            <w:r w:rsidR="00684AAC">
              <w:rPr>
                <w:noProof/>
                <w:webHidden/>
              </w:rPr>
              <w:t>6</w:t>
            </w:r>
            <w:r w:rsidR="00EB53BE">
              <w:rPr>
                <w:noProof/>
                <w:webHidden/>
              </w:rPr>
              <w:fldChar w:fldCharType="end"/>
            </w:r>
          </w:hyperlink>
        </w:p>
        <w:p w14:paraId="41E0BB63" w14:textId="61FB6CFC" w:rsidR="00EB53BE" w:rsidRDefault="00F300B2">
          <w:pPr>
            <w:pStyle w:val="TOC2"/>
            <w:tabs>
              <w:tab w:val="right" w:leader="dot" w:pos="9016"/>
            </w:tabs>
            <w:rPr>
              <w:noProof/>
            </w:rPr>
          </w:pPr>
          <w:hyperlink w:anchor="_Toc120609556" w:history="1">
            <w:r w:rsidR="00EB53BE" w:rsidRPr="00D62699">
              <w:rPr>
                <w:rStyle w:val="Hyperlink"/>
                <w:noProof/>
                <w:shd w:val="clear" w:color="auto" w:fill="FFFFFF"/>
              </w:rPr>
              <w:t>1.2 Developing the University’s first DAP</w:t>
            </w:r>
            <w:r w:rsidR="00EB53BE">
              <w:rPr>
                <w:noProof/>
                <w:webHidden/>
              </w:rPr>
              <w:tab/>
            </w:r>
            <w:r w:rsidR="00EB53BE">
              <w:rPr>
                <w:noProof/>
                <w:webHidden/>
              </w:rPr>
              <w:fldChar w:fldCharType="begin"/>
            </w:r>
            <w:r w:rsidR="00EB53BE">
              <w:rPr>
                <w:noProof/>
                <w:webHidden/>
              </w:rPr>
              <w:instrText xml:space="preserve"> PAGEREF _Toc120609556 \h </w:instrText>
            </w:r>
            <w:r w:rsidR="00EB53BE">
              <w:rPr>
                <w:noProof/>
                <w:webHidden/>
              </w:rPr>
            </w:r>
            <w:r w:rsidR="00EB53BE">
              <w:rPr>
                <w:noProof/>
                <w:webHidden/>
              </w:rPr>
              <w:fldChar w:fldCharType="separate"/>
            </w:r>
            <w:r w:rsidR="00684AAC">
              <w:rPr>
                <w:noProof/>
                <w:webHidden/>
              </w:rPr>
              <w:t>8</w:t>
            </w:r>
            <w:r w:rsidR="00EB53BE">
              <w:rPr>
                <w:noProof/>
                <w:webHidden/>
              </w:rPr>
              <w:fldChar w:fldCharType="end"/>
            </w:r>
          </w:hyperlink>
        </w:p>
        <w:p w14:paraId="6581A552" w14:textId="2648BF14" w:rsidR="00EB53BE" w:rsidRDefault="00F300B2">
          <w:pPr>
            <w:pStyle w:val="TOC2"/>
            <w:tabs>
              <w:tab w:val="right" w:leader="dot" w:pos="9016"/>
            </w:tabs>
            <w:rPr>
              <w:noProof/>
            </w:rPr>
          </w:pPr>
          <w:hyperlink w:anchor="_Toc120609557" w:history="1">
            <w:r w:rsidR="00EB53BE" w:rsidRPr="00D62699">
              <w:rPr>
                <w:rStyle w:val="Hyperlink"/>
                <w:noProof/>
                <w:shd w:val="clear" w:color="auto" w:fill="FFFFFF"/>
              </w:rPr>
              <w:t xml:space="preserve">1.3 </w:t>
            </w:r>
            <w:r w:rsidR="00EB53BE" w:rsidRPr="00D62699">
              <w:rPr>
                <w:rStyle w:val="Hyperlink"/>
                <w:noProof/>
              </w:rPr>
              <w:t>DAP endorsement and accountabilities</w:t>
            </w:r>
            <w:r w:rsidR="00EB53BE">
              <w:rPr>
                <w:noProof/>
                <w:webHidden/>
              </w:rPr>
              <w:tab/>
            </w:r>
            <w:r w:rsidR="00EB53BE">
              <w:rPr>
                <w:noProof/>
                <w:webHidden/>
              </w:rPr>
              <w:fldChar w:fldCharType="begin"/>
            </w:r>
            <w:r w:rsidR="00EB53BE">
              <w:rPr>
                <w:noProof/>
                <w:webHidden/>
              </w:rPr>
              <w:instrText xml:space="preserve"> PAGEREF _Toc120609557 \h </w:instrText>
            </w:r>
            <w:r w:rsidR="00EB53BE">
              <w:rPr>
                <w:noProof/>
                <w:webHidden/>
              </w:rPr>
            </w:r>
            <w:r w:rsidR="00EB53BE">
              <w:rPr>
                <w:noProof/>
                <w:webHidden/>
              </w:rPr>
              <w:fldChar w:fldCharType="separate"/>
            </w:r>
            <w:r w:rsidR="00684AAC">
              <w:rPr>
                <w:noProof/>
                <w:webHidden/>
              </w:rPr>
              <w:t>9</w:t>
            </w:r>
            <w:r w:rsidR="00EB53BE">
              <w:rPr>
                <w:noProof/>
                <w:webHidden/>
              </w:rPr>
              <w:fldChar w:fldCharType="end"/>
            </w:r>
          </w:hyperlink>
        </w:p>
        <w:p w14:paraId="39B02B42" w14:textId="0E54F30E" w:rsidR="00EB53BE" w:rsidRDefault="00F300B2">
          <w:pPr>
            <w:pStyle w:val="TOC1"/>
            <w:tabs>
              <w:tab w:val="right" w:leader="dot" w:pos="9016"/>
            </w:tabs>
            <w:rPr>
              <w:noProof/>
            </w:rPr>
          </w:pPr>
          <w:hyperlink w:anchor="_Toc120609558" w:history="1">
            <w:r w:rsidR="00EB53BE" w:rsidRPr="00D62699">
              <w:rPr>
                <w:rStyle w:val="Hyperlink"/>
                <w:noProof/>
              </w:rPr>
              <w:t>2. Overview of current activities</w:t>
            </w:r>
            <w:r w:rsidR="00EB53BE">
              <w:rPr>
                <w:noProof/>
                <w:webHidden/>
              </w:rPr>
              <w:tab/>
            </w:r>
            <w:r w:rsidR="00EB53BE">
              <w:rPr>
                <w:noProof/>
                <w:webHidden/>
              </w:rPr>
              <w:fldChar w:fldCharType="begin"/>
            </w:r>
            <w:r w:rsidR="00EB53BE">
              <w:rPr>
                <w:noProof/>
                <w:webHidden/>
              </w:rPr>
              <w:instrText xml:space="preserve"> PAGEREF _Toc120609558 \h </w:instrText>
            </w:r>
            <w:r w:rsidR="00EB53BE">
              <w:rPr>
                <w:noProof/>
                <w:webHidden/>
              </w:rPr>
            </w:r>
            <w:r w:rsidR="00EB53BE">
              <w:rPr>
                <w:noProof/>
                <w:webHidden/>
              </w:rPr>
              <w:fldChar w:fldCharType="separate"/>
            </w:r>
            <w:r w:rsidR="00684AAC">
              <w:rPr>
                <w:noProof/>
                <w:webHidden/>
              </w:rPr>
              <w:t>10</w:t>
            </w:r>
            <w:r w:rsidR="00EB53BE">
              <w:rPr>
                <w:noProof/>
                <w:webHidden/>
              </w:rPr>
              <w:fldChar w:fldCharType="end"/>
            </w:r>
          </w:hyperlink>
        </w:p>
        <w:p w14:paraId="36784F1B" w14:textId="6688511F" w:rsidR="00EB53BE" w:rsidRDefault="00F300B2">
          <w:pPr>
            <w:pStyle w:val="TOC2"/>
            <w:tabs>
              <w:tab w:val="right" w:leader="dot" w:pos="9016"/>
            </w:tabs>
            <w:rPr>
              <w:noProof/>
            </w:rPr>
          </w:pPr>
          <w:hyperlink w:anchor="_Toc120609559" w:history="1">
            <w:r w:rsidR="00EB53BE" w:rsidRPr="00D62699">
              <w:rPr>
                <w:rStyle w:val="Hyperlink"/>
                <w:noProof/>
                <w:shd w:val="clear" w:color="auto" w:fill="FFFFFF"/>
              </w:rPr>
              <w:t>2.1 Accessibility Services</w:t>
            </w:r>
            <w:r w:rsidR="00EB53BE">
              <w:rPr>
                <w:noProof/>
                <w:webHidden/>
              </w:rPr>
              <w:tab/>
            </w:r>
            <w:r w:rsidR="00EB53BE">
              <w:rPr>
                <w:noProof/>
                <w:webHidden/>
              </w:rPr>
              <w:fldChar w:fldCharType="begin"/>
            </w:r>
            <w:r w:rsidR="00EB53BE">
              <w:rPr>
                <w:noProof/>
                <w:webHidden/>
              </w:rPr>
              <w:instrText xml:space="preserve"> PAGEREF _Toc120609559 \h </w:instrText>
            </w:r>
            <w:r w:rsidR="00EB53BE">
              <w:rPr>
                <w:noProof/>
                <w:webHidden/>
              </w:rPr>
            </w:r>
            <w:r w:rsidR="00EB53BE">
              <w:rPr>
                <w:noProof/>
                <w:webHidden/>
              </w:rPr>
              <w:fldChar w:fldCharType="separate"/>
            </w:r>
            <w:r w:rsidR="00684AAC">
              <w:rPr>
                <w:noProof/>
                <w:webHidden/>
              </w:rPr>
              <w:t>10</w:t>
            </w:r>
            <w:r w:rsidR="00EB53BE">
              <w:rPr>
                <w:noProof/>
                <w:webHidden/>
              </w:rPr>
              <w:fldChar w:fldCharType="end"/>
            </w:r>
          </w:hyperlink>
        </w:p>
        <w:p w14:paraId="407F8744" w14:textId="1F92D6AB" w:rsidR="00EB53BE" w:rsidRDefault="00F300B2">
          <w:pPr>
            <w:pStyle w:val="TOC2"/>
            <w:tabs>
              <w:tab w:val="right" w:leader="dot" w:pos="9016"/>
            </w:tabs>
            <w:rPr>
              <w:noProof/>
            </w:rPr>
          </w:pPr>
          <w:hyperlink w:anchor="_Toc120609560" w:history="1">
            <w:r w:rsidR="00EB53BE" w:rsidRPr="00D62699">
              <w:rPr>
                <w:rStyle w:val="Hyperlink"/>
                <w:noProof/>
              </w:rPr>
              <w:t xml:space="preserve">2.2 </w:t>
            </w:r>
            <w:r w:rsidR="00EB53BE" w:rsidRPr="00D62699">
              <w:rPr>
                <w:rStyle w:val="Hyperlink"/>
                <w:noProof/>
                <w:shd w:val="clear" w:color="auto" w:fill="FFFFFF"/>
              </w:rPr>
              <w:t>Disabled Students’ Association</w:t>
            </w:r>
            <w:r w:rsidR="00EB53BE">
              <w:rPr>
                <w:noProof/>
                <w:webHidden/>
              </w:rPr>
              <w:tab/>
            </w:r>
            <w:r w:rsidR="00EB53BE">
              <w:rPr>
                <w:noProof/>
                <w:webHidden/>
              </w:rPr>
              <w:fldChar w:fldCharType="begin"/>
            </w:r>
            <w:r w:rsidR="00EB53BE">
              <w:rPr>
                <w:noProof/>
                <w:webHidden/>
              </w:rPr>
              <w:instrText xml:space="preserve"> PAGEREF _Toc120609560 \h </w:instrText>
            </w:r>
            <w:r w:rsidR="00EB53BE">
              <w:rPr>
                <w:noProof/>
                <w:webHidden/>
              </w:rPr>
            </w:r>
            <w:r w:rsidR="00EB53BE">
              <w:rPr>
                <w:noProof/>
                <w:webHidden/>
              </w:rPr>
              <w:fldChar w:fldCharType="separate"/>
            </w:r>
            <w:r w:rsidR="00684AAC">
              <w:rPr>
                <w:noProof/>
                <w:webHidden/>
              </w:rPr>
              <w:t>11</w:t>
            </w:r>
            <w:r w:rsidR="00EB53BE">
              <w:rPr>
                <w:noProof/>
                <w:webHidden/>
              </w:rPr>
              <w:fldChar w:fldCharType="end"/>
            </w:r>
          </w:hyperlink>
        </w:p>
        <w:p w14:paraId="777507FA" w14:textId="06B514B8" w:rsidR="00EB53BE" w:rsidRDefault="00F300B2">
          <w:pPr>
            <w:pStyle w:val="TOC2"/>
            <w:tabs>
              <w:tab w:val="right" w:leader="dot" w:pos="9016"/>
            </w:tabs>
            <w:rPr>
              <w:noProof/>
            </w:rPr>
          </w:pPr>
          <w:hyperlink w:anchor="_Toc120609561" w:history="1">
            <w:r w:rsidR="00EB53BE" w:rsidRPr="00D62699">
              <w:rPr>
                <w:rStyle w:val="Hyperlink"/>
                <w:noProof/>
                <w:shd w:val="clear" w:color="auto" w:fill="FFFFFF"/>
              </w:rPr>
              <w:t>2.3 Te Puna Ako - Centre for Tertiary Teaching and Learning</w:t>
            </w:r>
            <w:r w:rsidR="00EB53BE">
              <w:rPr>
                <w:noProof/>
                <w:webHidden/>
              </w:rPr>
              <w:tab/>
            </w:r>
            <w:r w:rsidR="00EB53BE">
              <w:rPr>
                <w:noProof/>
                <w:webHidden/>
              </w:rPr>
              <w:fldChar w:fldCharType="begin"/>
            </w:r>
            <w:r w:rsidR="00EB53BE">
              <w:rPr>
                <w:noProof/>
                <w:webHidden/>
              </w:rPr>
              <w:instrText xml:space="preserve"> PAGEREF _Toc120609561 \h </w:instrText>
            </w:r>
            <w:r w:rsidR="00EB53BE">
              <w:rPr>
                <w:noProof/>
                <w:webHidden/>
              </w:rPr>
            </w:r>
            <w:r w:rsidR="00EB53BE">
              <w:rPr>
                <w:noProof/>
                <w:webHidden/>
              </w:rPr>
              <w:fldChar w:fldCharType="separate"/>
            </w:r>
            <w:r w:rsidR="00684AAC">
              <w:rPr>
                <w:noProof/>
                <w:webHidden/>
              </w:rPr>
              <w:t>11</w:t>
            </w:r>
            <w:r w:rsidR="00EB53BE">
              <w:rPr>
                <w:noProof/>
                <w:webHidden/>
              </w:rPr>
              <w:fldChar w:fldCharType="end"/>
            </w:r>
          </w:hyperlink>
        </w:p>
        <w:p w14:paraId="5FBFFE93" w14:textId="5593207E" w:rsidR="00EB53BE" w:rsidRDefault="00F300B2">
          <w:pPr>
            <w:pStyle w:val="TOC2"/>
            <w:tabs>
              <w:tab w:val="right" w:leader="dot" w:pos="9016"/>
            </w:tabs>
            <w:rPr>
              <w:noProof/>
            </w:rPr>
          </w:pPr>
          <w:hyperlink w:anchor="_Toc120609562" w:history="1">
            <w:r w:rsidR="00EB53BE" w:rsidRPr="00D62699">
              <w:rPr>
                <w:rStyle w:val="Hyperlink"/>
                <w:noProof/>
              </w:rPr>
              <w:t>2.4 Accommodation Services</w:t>
            </w:r>
            <w:r w:rsidR="00EB53BE">
              <w:rPr>
                <w:noProof/>
                <w:webHidden/>
              </w:rPr>
              <w:tab/>
            </w:r>
            <w:r w:rsidR="00EB53BE">
              <w:rPr>
                <w:noProof/>
                <w:webHidden/>
              </w:rPr>
              <w:fldChar w:fldCharType="begin"/>
            </w:r>
            <w:r w:rsidR="00EB53BE">
              <w:rPr>
                <w:noProof/>
                <w:webHidden/>
              </w:rPr>
              <w:instrText xml:space="preserve"> PAGEREF _Toc120609562 \h </w:instrText>
            </w:r>
            <w:r w:rsidR="00EB53BE">
              <w:rPr>
                <w:noProof/>
                <w:webHidden/>
              </w:rPr>
            </w:r>
            <w:r w:rsidR="00EB53BE">
              <w:rPr>
                <w:noProof/>
                <w:webHidden/>
              </w:rPr>
              <w:fldChar w:fldCharType="separate"/>
            </w:r>
            <w:r w:rsidR="00684AAC">
              <w:rPr>
                <w:noProof/>
                <w:webHidden/>
              </w:rPr>
              <w:t>12</w:t>
            </w:r>
            <w:r w:rsidR="00EB53BE">
              <w:rPr>
                <w:noProof/>
                <w:webHidden/>
              </w:rPr>
              <w:fldChar w:fldCharType="end"/>
            </w:r>
          </w:hyperlink>
        </w:p>
        <w:p w14:paraId="639637E0" w14:textId="5A29EC5D" w:rsidR="00EB53BE" w:rsidRDefault="00F300B2">
          <w:pPr>
            <w:pStyle w:val="TOC2"/>
            <w:tabs>
              <w:tab w:val="right" w:leader="dot" w:pos="9016"/>
            </w:tabs>
            <w:rPr>
              <w:noProof/>
            </w:rPr>
          </w:pPr>
          <w:hyperlink w:anchor="_Toc120609563" w:history="1">
            <w:r w:rsidR="00EB53BE" w:rsidRPr="00D62699">
              <w:rPr>
                <w:rStyle w:val="Hyperlink"/>
                <w:noProof/>
              </w:rPr>
              <w:t>2.5 Property Services</w:t>
            </w:r>
            <w:r w:rsidR="00EB53BE">
              <w:rPr>
                <w:noProof/>
                <w:webHidden/>
              </w:rPr>
              <w:tab/>
            </w:r>
            <w:r w:rsidR="00EB53BE">
              <w:rPr>
                <w:noProof/>
                <w:webHidden/>
              </w:rPr>
              <w:fldChar w:fldCharType="begin"/>
            </w:r>
            <w:r w:rsidR="00EB53BE">
              <w:rPr>
                <w:noProof/>
                <w:webHidden/>
              </w:rPr>
              <w:instrText xml:space="preserve"> PAGEREF _Toc120609563 \h </w:instrText>
            </w:r>
            <w:r w:rsidR="00EB53BE">
              <w:rPr>
                <w:noProof/>
                <w:webHidden/>
              </w:rPr>
            </w:r>
            <w:r w:rsidR="00EB53BE">
              <w:rPr>
                <w:noProof/>
                <w:webHidden/>
              </w:rPr>
              <w:fldChar w:fldCharType="separate"/>
            </w:r>
            <w:r w:rsidR="00684AAC">
              <w:rPr>
                <w:noProof/>
                <w:webHidden/>
              </w:rPr>
              <w:t>12</w:t>
            </w:r>
            <w:r w:rsidR="00EB53BE">
              <w:rPr>
                <w:noProof/>
                <w:webHidden/>
              </w:rPr>
              <w:fldChar w:fldCharType="end"/>
            </w:r>
          </w:hyperlink>
        </w:p>
        <w:p w14:paraId="14EA6A7D" w14:textId="3F07665E" w:rsidR="00EB53BE" w:rsidRDefault="00F300B2">
          <w:pPr>
            <w:pStyle w:val="TOC2"/>
            <w:tabs>
              <w:tab w:val="right" w:leader="dot" w:pos="9016"/>
            </w:tabs>
            <w:rPr>
              <w:noProof/>
            </w:rPr>
          </w:pPr>
          <w:hyperlink w:anchor="_Toc120609564" w:history="1">
            <w:r w:rsidR="00EB53BE" w:rsidRPr="00D62699">
              <w:rPr>
                <w:rStyle w:val="Hyperlink"/>
                <w:noProof/>
              </w:rPr>
              <w:t>2.6 The Library</w:t>
            </w:r>
            <w:r w:rsidR="00EB53BE">
              <w:rPr>
                <w:noProof/>
                <w:webHidden/>
              </w:rPr>
              <w:tab/>
            </w:r>
            <w:r w:rsidR="00EB53BE">
              <w:rPr>
                <w:noProof/>
                <w:webHidden/>
              </w:rPr>
              <w:fldChar w:fldCharType="begin"/>
            </w:r>
            <w:r w:rsidR="00EB53BE">
              <w:rPr>
                <w:noProof/>
                <w:webHidden/>
              </w:rPr>
              <w:instrText xml:space="preserve"> PAGEREF _Toc120609564 \h </w:instrText>
            </w:r>
            <w:r w:rsidR="00EB53BE">
              <w:rPr>
                <w:noProof/>
                <w:webHidden/>
              </w:rPr>
            </w:r>
            <w:r w:rsidR="00EB53BE">
              <w:rPr>
                <w:noProof/>
                <w:webHidden/>
              </w:rPr>
              <w:fldChar w:fldCharType="separate"/>
            </w:r>
            <w:r w:rsidR="00684AAC">
              <w:rPr>
                <w:noProof/>
                <w:webHidden/>
              </w:rPr>
              <w:t>12</w:t>
            </w:r>
            <w:r w:rsidR="00EB53BE">
              <w:rPr>
                <w:noProof/>
                <w:webHidden/>
              </w:rPr>
              <w:fldChar w:fldCharType="end"/>
            </w:r>
          </w:hyperlink>
        </w:p>
        <w:p w14:paraId="0003F649" w14:textId="0036A8BA" w:rsidR="00EB53BE" w:rsidRDefault="00F300B2">
          <w:pPr>
            <w:pStyle w:val="TOC1"/>
            <w:tabs>
              <w:tab w:val="right" w:leader="dot" w:pos="9016"/>
            </w:tabs>
            <w:rPr>
              <w:noProof/>
            </w:rPr>
          </w:pPr>
          <w:hyperlink w:anchor="_Toc120609565" w:history="1">
            <w:r w:rsidR="00EB53BE" w:rsidRPr="00D62699">
              <w:rPr>
                <w:rStyle w:val="Hyperlink"/>
                <w:noProof/>
              </w:rPr>
              <w:t>3. Devising policies</w:t>
            </w:r>
            <w:r w:rsidR="00EB53BE">
              <w:rPr>
                <w:noProof/>
                <w:webHidden/>
              </w:rPr>
              <w:tab/>
            </w:r>
            <w:r w:rsidR="00EB53BE">
              <w:rPr>
                <w:noProof/>
                <w:webHidden/>
              </w:rPr>
              <w:fldChar w:fldCharType="begin"/>
            </w:r>
            <w:r w:rsidR="00EB53BE">
              <w:rPr>
                <w:noProof/>
                <w:webHidden/>
              </w:rPr>
              <w:instrText xml:space="preserve"> PAGEREF _Toc120609565 \h </w:instrText>
            </w:r>
            <w:r w:rsidR="00EB53BE">
              <w:rPr>
                <w:noProof/>
                <w:webHidden/>
              </w:rPr>
            </w:r>
            <w:r w:rsidR="00EB53BE">
              <w:rPr>
                <w:noProof/>
                <w:webHidden/>
              </w:rPr>
              <w:fldChar w:fldCharType="separate"/>
            </w:r>
            <w:r w:rsidR="00684AAC">
              <w:rPr>
                <w:noProof/>
                <w:webHidden/>
              </w:rPr>
              <w:t>13</w:t>
            </w:r>
            <w:r w:rsidR="00EB53BE">
              <w:rPr>
                <w:noProof/>
                <w:webHidden/>
              </w:rPr>
              <w:fldChar w:fldCharType="end"/>
            </w:r>
          </w:hyperlink>
        </w:p>
        <w:p w14:paraId="330BFCD4" w14:textId="5842D30E" w:rsidR="00EB53BE" w:rsidRDefault="00F300B2">
          <w:pPr>
            <w:pStyle w:val="TOC1"/>
            <w:tabs>
              <w:tab w:val="right" w:leader="dot" w:pos="9016"/>
            </w:tabs>
            <w:rPr>
              <w:noProof/>
            </w:rPr>
          </w:pPr>
          <w:hyperlink w:anchor="_Toc120609566" w:history="1">
            <w:r w:rsidR="00EB53BE" w:rsidRPr="00D62699">
              <w:rPr>
                <w:rStyle w:val="Hyperlink"/>
                <w:noProof/>
              </w:rPr>
              <w:t>4. Objectives of the DAP</w:t>
            </w:r>
            <w:r w:rsidR="00EB53BE">
              <w:rPr>
                <w:noProof/>
                <w:webHidden/>
              </w:rPr>
              <w:tab/>
            </w:r>
            <w:r w:rsidR="00EB53BE">
              <w:rPr>
                <w:noProof/>
                <w:webHidden/>
              </w:rPr>
              <w:fldChar w:fldCharType="begin"/>
            </w:r>
            <w:r w:rsidR="00EB53BE">
              <w:rPr>
                <w:noProof/>
                <w:webHidden/>
              </w:rPr>
              <w:instrText xml:space="preserve"> PAGEREF _Toc120609566 \h </w:instrText>
            </w:r>
            <w:r w:rsidR="00EB53BE">
              <w:rPr>
                <w:noProof/>
                <w:webHidden/>
              </w:rPr>
            </w:r>
            <w:r w:rsidR="00EB53BE">
              <w:rPr>
                <w:noProof/>
                <w:webHidden/>
              </w:rPr>
              <w:fldChar w:fldCharType="separate"/>
            </w:r>
            <w:r w:rsidR="00684AAC">
              <w:rPr>
                <w:noProof/>
                <w:webHidden/>
              </w:rPr>
              <w:t>13</w:t>
            </w:r>
            <w:r w:rsidR="00EB53BE">
              <w:rPr>
                <w:noProof/>
                <w:webHidden/>
              </w:rPr>
              <w:fldChar w:fldCharType="end"/>
            </w:r>
          </w:hyperlink>
        </w:p>
        <w:p w14:paraId="6DEF0E3B" w14:textId="36786E64" w:rsidR="00EB53BE" w:rsidRDefault="00F300B2">
          <w:pPr>
            <w:pStyle w:val="TOC2"/>
            <w:tabs>
              <w:tab w:val="right" w:leader="dot" w:pos="9016"/>
            </w:tabs>
            <w:rPr>
              <w:noProof/>
            </w:rPr>
          </w:pPr>
          <w:hyperlink w:anchor="_Toc120609567" w:history="1">
            <w:r w:rsidR="00EB53BE" w:rsidRPr="00D62699">
              <w:rPr>
                <w:rStyle w:val="Hyperlink"/>
                <w:noProof/>
              </w:rPr>
              <w:t>OBJECTIVE 1: BE AN INCLUSIVE, SAFE AND WELCOMING UNIVERSITY</w:t>
            </w:r>
            <w:r w:rsidR="00EB53BE">
              <w:rPr>
                <w:noProof/>
                <w:webHidden/>
              </w:rPr>
              <w:tab/>
            </w:r>
            <w:r w:rsidR="00EB53BE">
              <w:rPr>
                <w:noProof/>
                <w:webHidden/>
              </w:rPr>
              <w:fldChar w:fldCharType="begin"/>
            </w:r>
            <w:r w:rsidR="00EB53BE">
              <w:rPr>
                <w:noProof/>
                <w:webHidden/>
              </w:rPr>
              <w:instrText xml:space="preserve"> PAGEREF _Toc120609567 \h </w:instrText>
            </w:r>
            <w:r w:rsidR="00EB53BE">
              <w:rPr>
                <w:noProof/>
                <w:webHidden/>
              </w:rPr>
            </w:r>
            <w:r w:rsidR="00EB53BE">
              <w:rPr>
                <w:noProof/>
                <w:webHidden/>
              </w:rPr>
              <w:fldChar w:fldCharType="separate"/>
            </w:r>
            <w:r w:rsidR="00684AAC">
              <w:rPr>
                <w:noProof/>
                <w:webHidden/>
              </w:rPr>
              <w:t>13</w:t>
            </w:r>
            <w:r w:rsidR="00EB53BE">
              <w:rPr>
                <w:noProof/>
                <w:webHidden/>
              </w:rPr>
              <w:fldChar w:fldCharType="end"/>
            </w:r>
          </w:hyperlink>
        </w:p>
        <w:p w14:paraId="0701E476" w14:textId="55B29F8D" w:rsidR="00EB53BE" w:rsidRDefault="00F300B2">
          <w:pPr>
            <w:pStyle w:val="TOC3"/>
            <w:tabs>
              <w:tab w:val="right" w:leader="dot" w:pos="9016"/>
            </w:tabs>
            <w:rPr>
              <w:noProof/>
            </w:rPr>
          </w:pPr>
          <w:hyperlink w:anchor="_Toc120609568" w:history="1">
            <w:r w:rsidR="00EB53BE" w:rsidRPr="00D62699">
              <w:rPr>
                <w:rStyle w:val="Hyperlink"/>
                <w:noProof/>
              </w:rPr>
              <w:t>What will the University do to achieve this Objective?</w:t>
            </w:r>
            <w:r w:rsidR="00EB53BE">
              <w:rPr>
                <w:noProof/>
                <w:webHidden/>
              </w:rPr>
              <w:tab/>
            </w:r>
            <w:r w:rsidR="00EB53BE">
              <w:rPr>
                <w:noProof/>
                <w:webHidden/>
              </w:rPr>
              <w:fldChar w:fldCharType="begin"/>
            </w:r>
            <w:r w:rsidR="00EB53BE">
              <w:rPr>
                <w:noProof/>
                <w:webHidden/>
              </w:rPr>
              <w:instrText xml:space="preserve"> PAGEREF _Toc120609568 \h </w:instrText>
            </w:r>
            <w:r w:rsidR="00EB53BE">
              <w:rPr>
                <w:noProof/>
                <w:webHidden/>
              </w:rPr>
            </w:r>
            <w:r w:rsidR="00EB53BE">
              <w:rPr>
                <w:noProof/>
                <w:webHidden/>
              </w:rPr>
              <w:fldChar w:fldCharType="separate"/>
            </w:r>
            <w:r w:rsidR="00684AAC">
              <w:rPr>
                <w:noProof/>
                <w:webHidden/>
              </w:rPr>
              <w:t>13</w:t>
            </w:r>
            <w:r w:rsidR="00EB53BE">
              <w:rPr>
                <w:noProof/>
                <w:webHidden/>
              </w:rPr>
              <w:fldChar w:fldCharType="end"/>
            </w:r>
          </w:hyperlink>
        </w:p>
        <w:p w14:paraId="6EA637D7" w14:textId="4C763009" w:rsidR="00EB53BE" w:rsidRDefault="00F300B2">
          <w:pPr>
            <w:pStyle w:val="TOC2"/>
            <w:tabs>
              <w:tab w:val="right" w:leader="dot" w:pos="9016"/>
            </w:tabs>
            <w:rPr>
              <w:noProof/>
            </w:rPr>
          </w:pPr>
          <w:hyperlink w:anchor="_Toc120609569" w:history="1">
            <w:r w:rsidR="00EB53BE" w:rsidRPr="00D62699">
              <w:rPr>
                <w:rStyle w:val="Hyperlink"/>
                <w:noProof/>
              </w:rPr>
              <w:t>OBJECTIVE 2: CREATE BARRIER FREE ACCESS TO OUR CAMPUSES</w:t>
            </w:r>
            <w:r w:rsidR="00EB53BE">
              <w:rPr>
                <w:noProof/>
                <w:webHidden/>
              </w:rPr>
              <w:tab/>
            </w:r>
            <w:r w:rsidR="00EB53BE">
              <w:rPr>
                <w:noProof/>
                <w:webHidden/>
              </w:rPr>
              <w:fldChar w:fldCharType="begin"/>
            </w:r>
            <w:r w:rsidR="00EB53BE">
              <w:rPr>
                <w:noProof/>
                <w:webHidden/>
              </w:rPr>
              <w:instrText xml:space="preserve"> PAGEREF _Toc120609569 \h </w:instrText>
            </w:r>
            <w:r w:rsidR="00EB53BE">
              <w:rPr>
                <w:noProof/>
                <w:webHidden/>
              </w:rPr>
            </w:r>
            <w:r w:rsidR="00EB53BE">
              <w:rPr>
                <w:noProof/>
                <w:webHidden/>
              </w:rPr>
              <w:fldChar w:fldCharType="separate"/>
            </w:r>
            <w:r w:rsidR="00684AAC">
              <w:rPr>
                <w:noProof/>
                <w:webHidden/>
              </w:rPr>
              <w:t>14</w:t>
            </w:r>
            <w:r w:rsidR="00EB53BE">
              <w:rPr>
                <w:noProof/>
                <w:webHidden/>
              </w:rPr>
              <w:fldChar w:fldCharType="end"/>
            </w:r>
          </w:hyperlink>
        </w:p>
        <w:p w14:paraId="79B91D0D" w14:textId="23F90701" w:rsidR="00EB53BE" w:rsidRDefault="00F300B2">
          <w:pPr>
            <w:pStyle w:val="TOC3"/>
            <w:tabs>
              <w:tab w:val="right" w:leader="dot" w:pos="9016"/>
            </w:tabs>
            <w:rPr>
              <w:noProof/>
            </w:rPr>
          </w:pPr>
          <w:hyperlink w:anchor="_Toc120609570" w:history="1">
            <w:r w:rsidR="00EB53BE" w:rsidRPr="00D62699">
              <w:rPr>
                <w:rStyle w:val="Hyperlink"/>
                <w:noProof/>
              </w:rPr>
              <w:t>What will the University do to achieve this Objective?</w:t>
            </w:r>
            <w:r w:rsidR="00EB53BE">
              <w:rPr>
                <w:noProof/>
                <w:webHidden/>
              </w:rPr>
              <w:tab/>
            </w:r>
            <w:r w:rsidR="00EB53BE">
              <w:rPr>
                <w:noProof/>
                <w:webHidden/>
              </w:rPr>
              <w:fldChar w:fldCharType="begin"/>
            </w:r>
            <w:r w:rsidR="00EB53BE">
              <w:rPr>
                <w:noProof/>
                <w:webHidden/>
              </w:rPr>
              <w:instrText xml:space="preserve"> PAGEREF _Toc120609570 \h </w:instrText>
            </w:r>
            <w:r w:rsidR="00EB53BE">
              <w:rPr>
                <w:noProof/>
                <w:webHidden/>
              </w:rPr>
            </w:r>
            <w:r w:rsidR="00EB53BE">
              <w:rPr>
                <w:noProof/>
                <w:webHidden/>
              </w:rPr>
              <w:fldChar w:fldCharType="separate"/>
            </w:r>
            <w:r w:rsidR="00684AAC">
              <w:rPr>
                <w:noProof/>
                <w:webHidden/>
              </w:rPr>
              <w:t>14</w:t>
            </w:r>
            <w:r w:rsidR="00EB53BE">
              <w:rPr>
                <w:noProof/>
                <w:webHidden/>
              </w:rPr>
              <w:fldChar w:fldCharType="end"/>
            </w:r>
          </w:hyperlink>
        </w:p>
        <w:p w14:paraId="4D9C75EE" w14:textId="293DD817" w:rsidR="00EB53BE" w:rsidRDefault="00F300B2">
          <w:pPr>
            <w:pStyle w:val="TOC2"/>
            <w:tabs>
              <w:tab w:val="right" w:leader="dot" w:pos="9016"/>
            </w:tabs>
            <w:rPr>
              <w:noProof/>
            </w:rPr>
          </w:pPr>
          <w:hyperlink w:anchor="_Toc120609571" w:history="1">
            <w:r w:rsidR="00EB53BE" w:rsidRPr="00D62699">
              <w:rPr>
                <w:rStyle w:val="Hyperlink"/>
                <w:noProof/>
              </w:rPr>
              <w:t>OBJECTIVE 3: BE AN INCLUSIVE TEACHING AND LEARNING ENVIRONMENT</w:t>
            </w:r>
            <w:r w:rsidR="00EB53BE">
              <w:rPr>
                <w:noProof/>
                <w:webHidden/>
              </w:rPr>
              <w:tab/>
            </w:r>
            <w:r w:rsidR="00EB53BE">
              <w:rPr>
                <w:noProof/>
                <w:webHidden/>
              </w:rPr>
              <w:fldChar w:fldCharType="begin"/>
            </w:r>
            <w:r w:rsidR="00EB53BE">
              <w:rPr>
                <w:noProof/>
                <w:webHidden/>
              </w:rPr>
              <w:instrText xml:space="preserve"> PAGEREF _Toc120609571 \h </w:instrText>
            </w:r>
            <w:r w:rsidR="00EB53BE">
              <w:rPr>
                <w:noProof/>
                <w:webHidden/>
              </w:rPr>
            </w:r>
            <w:r w:rsidR="00EB53BE">
              <w:rPr>
                <w:noProof/>
                <w:webHidden/>
              </w:rPr>
              <w:fldChar w:fldCharType="separate"/>
            </w:r>
            <w:r w:rsidR="00684AAC">
              <w:rPr>
                <w:noProof/>
                <w:webHidden/>
              </w:rPr>
              <w:t>15</w:t>
            </w:r>
            <w:r w:rsidR="00EB53BE">
              <w:rPr>
                <w:noProof/>
                <w:webHidden/>
              </w:rPr>
              <w:fldChar w:fldCharType="end"/>
            </w:r>
          </w:hyperlink>
        </w:p>
        <w:p w14:paraId="06650F32" w14:textId="090FF4BA" w:rsidR="00EB53BE" w:rsidRDefault="00F300B2">
          <w:pPr>
            <w:pStyle w:val="TOC3"/>
            <w:tabs>
              <w:tab w:val="right" w:leader="dot" w:pos="9016"/>
            </w:tabs>
            <w:rPr>
              <w:noProof/>
            </w:rPr>
          </w:pPr>
          <w:hyperlink w:anchor="_Toc120609572" w:history="1">
            <w:r w:rsidR="00EB53BE" w:rsidRPr="00D62699">
              <w:rPr>
                <w:rStyle w:val="Hyperlink"/>
                <w:noProof/>
              </w:rPr>
              <w:t>What will the University do to achieve this Objective?</w:t>
            </w:r>
            <w:r w:rsidR="00EB53BE">
              <w:rPr>
                <w:noProof/>
                <w:webHidden/>
              </w:rPr>
              <w:tab/>
            </w:r>
            <w:r w:rsidR="00EB53BE">
              <w:rPr>
                <w:noProof/>
                <w:webHidden/>
              </w:rPr>
              <w:fldChar w:fldCharType="begin"/>
            </w:r>
            <w:r w:rsidR="00EB53BE">
              <w:rPr>
                <w:noProof/>
                <w:webHidden/>
              </w:rPr>
              <w:instrText xml:space="preserve"> PAGEREF _Toc120609572 \h </w:instrText>
            </w:r>
            <w:r w:rsidR="00EB53BE">
              <w:rPr>
                <w:noProof/>
                <w:webHidden/>
              </w:rPr>
            </w:r>
            <w:r w:rsidR="00EB53BE">
              <w:rPr>
                <w:noProof/>
                <w:webHidden/>
              </w:rPr>
              <w:fldChar w:fldCharType="separate"/>
            </w:r>
            <w:r w:rsidR="00684AAC">
              <w:rPr>
                <w:noProof/>
                <w:webHidden/>
              </w:rPr>
              <w:t>15</w:t>
            </w:r>
            <w:r w:rsidR="00EB53BE">
              <w:rPr>
                <w:noProof/>
                <w:webHidden/>
              </w:rPr>
              <w:fldChar w:fldCharType="end"/>
            </w:r>
          </w:hyperlink>
        </w:p>
        <w:p w14:paraId="6E049B92" w14:textId="6CF2B3EE" w:rsidR="00EB53BE" w:rsidRDefault="00F300B2">
          <w:pPr>
            <w:pStyle w:val="TOC2"/>
            <w:tabs>
              <w:tab w:val="right" w:leader="dot" w:pos="9016"/>
            </w:tabs>
            <w:rPr>
              <w:noProof/>
            </w:rPr>
          </w:pPr>
          <w:hyperlink w:anchor="_Toc120609573" w:history="1">
            <w:r w:rsidR="00EB53BE" w:rsidRPr="00D62699">
              <w:rPr>
                <w:rStyle w:val="Hyperlink"/>
                <w:noProof/>
              </w:rPr>
              <w:t>OBJECTIVE 4:  INCREASE LEARNER ENGAGEMENT IN UNIVERSITY LIFE</w:t>
            </w:r>
            <w:r w:rsidR="00EB53BE">
              <w:rPr>
                <w:noProof/>
                <w:webHidden/>
              </w:rPr>
              <w:tab/>
            </w:r>
            <w:r w:rsidR="00EB53BE">
              <w:rPr>
                <w:noProof/>
                <w:webHidden/>
              </w:rPr>
              <w:fldChar w:fldCharType="begin"/>
            </w:r>
            <w:r w:rsidR="00EB53BE">
              <w:rPr>
                <w:noProof/>
                <w:webHidden/>
              </w:rPr>
              <w:instrText xml:space="preserve"> PAGEREF _Toc120609573 \h </w:instrText>
            </w:r>
            <w:r w:rsidR="00EB53BE">
              <w:rPr>
                <w:noProof/>
                <w:webHidden/>
              </w:rPr>
            </w:r>
            <w:r w:rsidR="00EB53BE">
              <w:rPr>
                <w:noProof/>
                <w:webHidden/>
              </w:rPr>
              <w:fldChar w:fldCharType="separate"/>
            </w:r>
            <w:r w:rsidR="00684AAC">
              <w:rPr>
                <w:noProof/>
                <w:webHidden/>
              </w:rPr>
              <w:t>16</w:t>
            </w:r>
            <w:r w:rsidR="00EB53BE">
              <w:rPr>
                <w:noProof/>
                <w:webHidden/>
              </w:rPr>
              <w:fldChar w:fldCharType="end"/>
            </w:r>
          </w:hyperlink>
        </w:p>
        <w:p w14:paraId="41D128E6" w14:textId="76EE84BB" w:rsidR="00EB53BE" w:rsidRDefault="00F300B2">
          <w:pPr>
            <w:pStyle w:val="TOC3"/>
            <w:tabs>
              <w:tab w:val="right" w:leader="dot" w:pos="9016"/>
            </w:tabs>
            <w:rPr>
              <w:noProof/>
            </w:rPr>
          </w:pPr>
          <w:hyperlink w:anchor="_Toc120609574" w:history="1">
            <w:r w:rsidR="00EB53BE" w:rsidRPr="00D62699">
              <w:rPr>
                <w:rStyle w:val="Hyperlink"/>
                <w:noProof/>
              </w:rPr>
              <w:t>What will the University do to achieve this Objective?</w:t>
            </w:r>
            <w:r w:rsidR="00EB53BE">
              <w:rPr>
                <w:noProof/>
                <w:webHidden/>
              </w:rPr>
              <w:tab/>
            </w:r>
            <w:r w:rsidR="00EB53BE">
              <w:rPr>
                <w:noProof/>
                <w:webHidden/>
              </w:rPr>
              <w:fldChar w:fldCharType="begin"/>
            </w:r>
            <w:r w:rsidR="00EB53BE">
              <w:rPr>
                <w:noProof/>
                <w:webHidden/>
              </w:rPr>
              <w:instrText xml:space="preserve"> PAGEREF _Toc120609574 \h </w:instrText>
            </w:r>
            <w:r w:rsidR="00EB53BE">
              <w:rPr>
                <w:noProof/>
                <w:webHidden/>
              </w:rPr>
            </w:r>
            <w:r w:rsidR="00EB53BE">
              <w:rPr>
                <w:noProof/>
                <w:webHidden/>
              </w:rPr>
              <w:fldChar w:fldCharType="separate"/>
            </w:r>
            <w:r w:rsidR="00684AAC">
              <w:rPr>
                <w:noProof/>
                <w:webHidden/>
              </w:rPr>
              <w:t>16</w:t>
            </w:r>
            <w:r w:rsidR="00EB53BE">
              <w:rPr>
                <w:noProof/>
                <w:webHidden/>
              </w:rPr>
              <w:fldChar w:fldCharType="end"/>
            </w:r>
          </w:hyperlink>
        </w:p>
        <w:p w14:paraId="101AD8F3" w14:textId="040FC878" w:rsidR="00EB53BE" w:rsidRDefault="00F300B2">
          <w:pPr>
            <w:pStyle w:val="TOC2"/>
            <w:tabs>
              <w:tab w:val="right" w:leader="dot" w:pos="9016"/>
            </w:tabs>
            <w:rPr>
              <w:noProof/>
            </w:rPr>
          </w:pPr>
          <w:hyperlink w:anchor="_Toc120609575" w:history="1">
            <w:r w:rsidR="00EB53BE" w:rsidRPr="00D62699">
              <w:rPr>
                <w:rStyle w:val="Hyperlink"/>
                <w:noProof/>
              </w:rPr>
              <w:t>OBJECTIVE 5:  PROGRESS WORK ON POLICIES THAT IMPACT DISABLED LEARNERS</w:t>
            </w:r>
            <w:r w:rsidR="00EB53BE">
              <w:rPr>
                <w:noProof/>
                <w:webHidden/>
              </w:rPr>
              <w:tab/>
            </w:r>
            <w:r w:rsidR="00EB53BE">
              <w:rPr>
                <w:noProof/>
                <w:webHidden/>
              </w:rPr>
              <w:fldChar w:fldCharType="begin"/>
            </w:r>
            <w:r w:rsidR="00EB53BE">
              <w:rPr>
                <w:noProof/>
                <w:webHidden/>
              </w:rPr>
              <w:instrText xml:space="preserve"> PAGEREF _Toc120609575 \h </w:instrText>
            </w:r>
            <w:r w:rsidR="00EB53BE">
              <w:rPr>
                <w:noProof/>
                <w:webHidden/>
              </w:rPr>
            </w:r>
            <w:r w:rsidR="00EB53BE">
              <w:rPr>
                <w:noProof/>
                <w:webHidden/>
              </w:rPr>
              <w:fldChar w:fldCharType="separate"/>
            </w:r>
            <w:r w:rsidR="00684AAC">
              <w:rPr>
                <w:noProof/>
                <w:webHidden/>
              </w:rPr>
              <w:t>17</w:t>
            </w:r>
            <w:r w:rsidR="00EB53BE">
              <w:rPr>
                <w:noProof/>
                <w:webHidden/>
              </w:rPr>
              <w:fldChar w:fldCharType="end"/>
            </w:r>
          </w:hyperlink>
        </w:p>
        <w:p w14:paraId="71018A23" w14:textId="1271BCC2" w:rsidR="00EB53BE" w:rsidRDefault="00F300B2">
          <w:pPr>
            <w:pStyle w:val="TOC3"/>
            <w:tabs>
              <w:tab w:val="right" w:leader="dot" w:pos="9016"/>
            </w:tabs>
            <w:rPr>
              <w:noProof/>
            </w:rPr>
          </w:pPr>
          <w:hyperlink w:anchor="_Toc120609576" w:history="1">
            <w:r w:rsidR="00EB53BE" w:rsidRPr="00D62699">
              <w:rPr>
                <w:rStyle w:val="Hyperlink"/>
                <w:noProof/>
              </w:rPr>
              <w:t>What will the University do to achieve this Objective?</w:t>
            </w:r>
            <w:r w:rsidR="00EB53BE">
              <w:rPr>
                <w:noProof/>
                <w:webHidden/>
              </w:rPr>
              <w:tab/>
            </w:r>
            <w:r w:rsidR="00EB53BE">
              <w:rPr>
                <w:noProof/>
                <w:webHidden/>
              </w:rPr>
              <w:fldChar w:fldCharType="begin"/>
            </w:r>
            <w:r w:rsidR="00EB53BE">
              <w:rPr>
                <w:noProof/>
                <w:webHidden/>
              </w:rPr>
              <w:instrText xml:space="preserve"> PAGEREF _Toc120609576 \h </w:instrText>
            </w:r>
            <w:r w:rsidR="00EB53BE">
              <w:rPr>
                <w:noProof/>
                <w:webHidden/>
              </w:rPr>
            </w:r>
            <w:r w:rsidR="00EB53BE">
              <w:rPr>
                <w:noProof/>
                <w:webHidden/>
              </w:rPr>
              <w:fldChar w:fldCharType="separate"/>
            </w:r>
            <w:r w:rsidR="00684AAC">
              <w:rPr>
                <w:noProof/>
                <w:webHidden/>
              </w:rPr>
              <w:t>17</w:t>
            </w:r>
            <w:r w:rsidR="00EB53BE">
              <w:rPr>
                <w:noProof/>
                <w:webHidden/>
              </w:rPr>
              <w:fldChar w:fldCharType="end"/>
            </w:r>
          </w:hyperlink>
        </w:p>
        <w:p w14:paraId="631D52D4" w14:textId="6369D2AC" w:rsidR="00EB53BE" w:rsidRDefault="00F300B2">
          <w:pPr>
            <w:pStyle w:val="TOC1"/>
            <w:tabs>
              <w:tab w:val="right" w:leader="dot" w:pos="9016"/>
            </w:tabs>
            <w:rPr>
              <w:noProof/>
            </w:rPr>
          </w:pPr>
          <w:hyperlink w:anchor="_Toc120609577" w:history="1">
            <w:r w:rsidR="00EB53BE" w:rsidRPr="00D62699">
              <w:rPr>
                <w:rStyle w:val="Hyperlink"/>
                <w:noProof/>
              </w:rPr>
              <w:t>5. Evaluation strategy</w:t>
            </w:r>
            <w:r w:rsidR="00EB53BE">
              <w:rPr>
                <w:noProof/>
                <w:webHidden/>
              </w:rPr>
              <w:tab/>
            </w:r>
            <w:r w:rsidR="00EB53BE">
              <w:rPr>
                <w:noProof/>
                <w:webHidden/>
              </w:rPr>
              <w:fldChar w:fldCharType="begin"/>
            </w:r>
            <w:r w:rsidR="00EB53BE">
              <w:rPr>
                <w:noProof/>
                <w:webHidden/>
              </w:rPr>
              <w:instrText xml:space="preserve"> PAGEREF _Toc120609577 \h </w:instrText>
            </w:r>
            <w:r w:rsidR="00EB53BE">
              <w:rPr>
                <w:noProof/>
                <w:webHidden/>
              </w:rPr>
            </w:r>
            <w:r w:rsidR="00EB53BE">
              <w:rPr>
                <w:noProof/>
                <w:webHidden/>
              </w:rPr>
              <w:fldChar w:fldCharType="separate"/>
            </w:r>
            <w:r w:rsidR="00684AAC">
              <w:rPr>
                <w:noProof/>
                <w:webHidden/>
              </w:rPr>
              <w:t>17</w:t>
            </w:r>
            <w:r w:rsidR="00EB53BE">
              <w:rPr>
                <w:noProof/>
                <w:webHidden/>
              </w:rPr>
              <w:fldChar w:fldCharType="end"/>
            </w:r>
          </w:hyperlink>
        </w:p>
        <w:p w14:paraId="76FF816E" w14:textId="147F1019" w:rsidR="00EB53BE" w:rsidRDefault="00F300B2">
          <w:pPr>
            <w:pStyle w:val="TOC1"/>
            <w:tabs>
              <w:tab w:val="right" w:leader="dot" w:pos="9016"/>
            </w:tabs>
            <w:rPr>
              <w:noProof/>
            </w:rPr>
          </w:pPr>
          <w:hyperlink w:anchor="_Toc120609578" w:history="1">
            <w:r w:rsidR="00EB53BE" w:rsidRPr="00D62699">
              <w:rPr>
                <w:rStyle w:val="Hyperlink"/>
                <w:noProof/>
              </w:rPr>
              <w:t>6. Allocation of responsibility and resources</w:t>
            </w:r>
            <w:r w:rsidR="00EB53BE">
              <w:rPr>
                <w:noProof/>
                <w:webHidden/>
              </w:rPr>
              <w:tab/>
            </w:r>
            <w:r w:rsidR="00EB53BE">
              <w:rPr>
                <w:noProof/>
                <w:webHidden/>
              </w:rPr>
              <w:fldChar w:fldCharType="begin"/>
            </w:r>
            <w:r w:rsidR="00EB53BE">
              <w:rPr>
                <w:noProof/>
                <w:webHidden/>
              </w:rPr>
              <w:instrText xml:space="preserve"> PAGEREF _Toc120609578 \h </w:instrText>
            </w:r>
            <w:r w:rsidR="00EB53BE">
              <w:rPr>
                <w:noProof/>
                <w:webHidden/>
              </w:rPr>
            </w:r>
            <w:r w:rsidR="00EB53BE">
              <w:rPr>
                <w:noProof/>
                <w:webHidden/>
              </w:rPr>
              <w:fldChar w:fldCharType="separate"/>
            </w:r>
            <w:r w:rsidR="00684AAC">
              <w:rPr>
                <w:noProof/>
                <w:webHidden/>
              </w:rPr>
              <w:t>17</w:t>
            </w:r>
            <w:r w:rsidR="00EB53BE">
              <w:rPr>
                <w:noProof/>
                <w:webHidden/>
              </w:rPr>
              <w:fldChar w:fldCharType="end"/>
            </w:r>
          </w:hyperlink>
        </w:p>
        <w:p w14:paraId="431540D0" w14:textId="37BDB812" w:rsidR="00EB53BE" w:rsidRDefault="00F300B2">
          <w:pPr>
            <w:pStyle w:val="TOC1"/>
            <w:tabs>
              <w:tab w:val="right" w:leader="dot" w:pos="9016"/>
            </w:tabs>
            <w:rPr>
              <w:noProof/>
            </w:rPr>
          </w:pPr>
          <w:hyperlink w:anchor="_Toc120609579" w:history="1">
            <w:r w:rsidR="00EB53BE" w:rsidRPr="00D62699">
              <w:rPr>
                <w:rStyle w:val="Hyperlink"/>
                <w:noProof/>
              </w:rPr>
              <w:t>7. Communication of policies and programmes</w:t>
            </w:r>
            <w:r w:rsidR="00EB53BE">
              <w:rPr>
                <w:noProof/>
                <w:webHidden/>
              </w:rPr>
              <w:tab/>
            </w:r>
            <w:r w:rsidR="00EB53BE">
              <w:rPr>
                <w:noProof/>
                <w:webHidden/>
              </w:rPr>
              <w:fldChar w:fldCharType="begin"/>
            </w:r>
            <w:r w:rsidR="00EB53BE">
              <w:rPr>
                <w:noProof/>
                <w:webHidden/>
              </w:rPr>
              <w:instrText xml:space="preserve"> PAGEREF _Toc120609579 \h </w:instrText>
            </w:r>
            <w:r w:rsidR="00EB53BE">
              <w:rPr>
                <w:noProof/>
                <w:webHidden/>
              </w:rPr>
            </w:r>
            <w:r w:rsidR="00EB53BE">
              <w:rPr>
                <w:noProof/>
                <w:webHidden/>
              </w:rPr>
              <w:fldChar w:fldCharType="separate"/>
            </w:r>
            <w:r w:rsidR="00684AAC">
              <w:rPr>
                <w:noProof/>
                <w:webHidden/>
              </w:rPr>
              <w:t>17</w:t>
            </w:r>
            <w:r w:rsidR="00EB53BE">
              <w:rPr>
                <w:noProof/>
                <w:webHidden/>
              </w:rPr>
              <w:fldChar w:fldCharType="end"/>
            </w:r>
          </w:hyperlink>
        </w:p>
        <w:p w14:paraId="21643C1D" w14:textId="599C02D3" w:rsidR="00EB53BE" w:rsidRDefault="00F300B2">
          <w:pPr>
            <w:pStyle w:val="TOC1"/>
            <w:tabs>
              <w:tab w:val="right" w:leader="dot" w:pos="9016"/>
            </w:tabs>
            <w:rPr>
              <w:noProof/>
            </w:rPr>
          </w:pPr>
          <w:hyperlink w:anchor="_Toc120609580" w:history="1">
            <w:r w:rsidR="00EB53BE" w:rsidRPr="00D62699">
              <w:rPr>
                <w:rStyle w:val="Hyperlink"/>
                <w:noProof/>
              </w:rPr>
              <w:t>8. Future state</w:t>
            </w:r>
            <w:r w:rsidR="00EB53BE">
              <w:rPr>
                <w:noProof/>
                <w:webHidden/>
              </w:rPr>
              <w:tab/>
            </w:r>
            <w:r w:rsidR="00EB53BE">
              <w:rPr>
                <w:noProof/>
                <w:webHidden/>
              </w:rPr>
              <w:fldChar w:fldCharType="begin"/>
            </w:r>
            <w:r w:rsidR="00EB53BE">
              <w:rPr>
                <w:noProof/>
                <w:webHidden/>
              </w:rPr>
              <w:instrText xml:space="preserve"> PAGEREF _Toc120609580 \h </w:instrText>
            </w:r>
            <w:r w:rsidR="00EB53BE">
              <w:rPr>
                <w:noProof/>
                <w:webHidden/>
              </w:rPr>
            </w:r>
            <w:r w:rsidR="00EB53BE">
              <w:rPr>
                <w:noProof/>
                <w:webHidden/>
              </w:rPr>
              <w:fldChar w:fldCharType="separate"/>
            </w:r>
            <w:r w:rsidR="00684AAC">
              <w:rPr>
                <w:noProof/>
                <w:webHidden/>
              </w:rPr>
              <w:t>18</w:t>
            </w:r>
            <w:r w:rsidR="00EB53BE">
              <w:rPr>
                <w:noProof/>
                <w:webHidden/>
              </w:rPr>
              <w:fldChar w:fldCharType="end"/>
            </w:r>
          </w:hyperlink>
        </w:p>
        <w:p w14:paraId="05E582FF" w14:textId="2B8EBF86" w:rsidR="00665038" w:rsidRPr="00665B84" w:rsidRDefault="00665038" w:rsidP="0012782C">
          <w:pPr>
            <w:spacing w:line="240" w:lineRule="auto"/>
          </w:pPr>
          <w:r w:rsidRPr="00665B84">
            <w:rPr>
              <w:b/>
              <w:bCs/>
              <w:noProof/>
            </w:rPr>
            <w:fldChar w:fldCharType="end"/>
          </w:r>
        </w:p>
      </w:sdtContent>
    </w:sdt>
    <w:p w14:paraId="55AC2333" w14:textId="49712227" w:rsidR="00BF10A6" w:rsidRPr="00F658E7" w:rsidRDefault="00BF10A6" w:rsidP="0012782C">
      <w:pPr>
        <w:pStyle w:val="Heading1"/>
        <w:spacing w:line="240" w:lineRule="auto"/>
        <w:rPr>
          <w:color w:val="auto"/>
        </w:rPr>
      </w:pPr>
      <w:bookmarkStart w:id="1" w:name="_Toc120609549"/>
      <w:r w:rsidRPr="00F658E7">
        <w:rPr>
          <w:color w:val="auto"/>
        </w:rPr>
        <w:t>1</w:t>
      </w:r>
      <w:r w:rsidR="00321D99" w:rsidRPr="00F658E7">
        <w:rPr>
          <w:color w:val="auto"/>
        </w:rPr>
        <w:t>.</w:t>
      </w:r>
      <w:r w:rsidRPr="00F658E7">
        <w:rPr>
          <w:color w:val="auto"/>
        </w:rPr>
        <w:t xml:space="preserve"> </w:t>
      </w:r>
      <w:r w:rsidR="00EC5DF9" w:rsidRPr="00F658E7">
        <w:rPr>
          <w:color w:val="auto"/>
        </w:rPr>
        <w:t>Context</w:t>
      </w:r>
      <w:bookmarkEnd w:id="1"/>
      <w:r w:rsidR="00EC5DF9" w:rsidRPr="00F658E7">
        <w:rPr>
          <w:color w:val="auto"/>
        </w:rPr>
        <w:t xml:space="preserve"> </w:t>
      </w:r>
    </w:p>
    <w:p w14:paraId="5653EE8C" w14:textId="77777777" w:rsidR="004547A7" w:rsidRPr="00F658E7" w:rsidRDefault="004547A7" w:rsidP="0012782C">
      <w:pPr>
        <w:pStyle w:val="Default"/>
        <w:rPr>
          <w:rFonts w:ascii="Calibri" w:hAnsi="Calibri" w:cs="Calibri"/>
          <w:color w:val="auto"/>
          <w:sz w:val="22"/>
          <w:szCs w:val="22"/>
        </w:rPr>
      </w:pPr>
    </w:p>
    <w:p w14:paraId="154042FE" w14:textId="3BBD463B" w:rsidR="002A101F" w:rsidRPr="00F658E7" w:rsidRDefault="00EB6420" w:rsidP="0012782C">
      <w:pPr>
        <w:pStyle w:val="Default"/>
        <w:tabs>
          <w:tab w:val="left" w:pos="8344"/>
        </w:tabs>
        <w:jc w:val="center"/>
        <w:rPr>
          <w:rFonts w:asciiTheme="minorHAnsi" w:hAnsiTheme="minorHAnsi" w:cstheme="minorHAnsi"/>
          <w:color w:val="auto"/>
          <w:sz w:val="22"/>
          <w:szCs w:val="22"/>
        </w:rPr>
      </w:pPr>
      <w:r w:rsidRPr="00F658E7">
        <w:rPr>
          <w:rFonts w:asciiTheme="minorHAnsi" w:hAnsiTheme="minorHAnsi" w:cstheme="minorHAnsi"/>
          <w:color w:val="auto"/>
          <w:sz w:val="22"/>
          <w:szCs w:val="22"/>
        </w:rPr>
        <w:t xml:space="preserve">“I’m Year 13 and disabled. My future depends on how accessible NZ </w:t>
      </w:r>
      <w:proofErr w:type="spellStart"/>
      <w:r w:rsidRPr="00F658E7">
        <w:rPr>
          <w:rFonts w:asciiTheme="minorHAnsi" w:hAnsiTheme="minorHAnsi" w:cstheme="minorHAnsi"/>
          <w:color w:val="auto"/>
          <w:sz w:val="22"/>
          <w:szCs w:val="22"/>
        </w:rPr>
        <w:t>unis</w:t>
      </w:r>
      <w:proofErr w:type="spellEnd"/>
      <w:r w:rsidRPr="00F658E7">
        <w:rPr>
          <w:rFonts w:asciiTheme="minorHAnsi" w:hAnsiTheme="minorHAnsi" w:cstheme="minorHAnsi"/>
          <w:color w:val="auto"/>
          <w:sz w:val="22"/>
          <w:szCs w:val="22"/>
        </w:rPr>
        <w:t xml:space="preserve"> are.”</w:t>
      </w:r>
    </w:p>
    <w:p w14:paraId="66D95C78" w14:textId="77777777" w:rsidR="002A101F" w:rsidRPr="00F658E7" w:rsidRDefault="002A101F" w:rsidP="0012782C">
      <w:pPr>
        <w:pStyle w:val="Default"/>
        <w:tabs>
          <w:tab w:val="left" w:pos="8344"/>
        </w:tabs>
        <w:rPr>
          <w:rFonts w:asciiTheme="minorHAnsi" w:hAnsiTheme="minorHAnsi" w:cstheme="minorHAnsi"/>
          <w:color w:val="auto"/>
          <w:sz w:val="22"/>
          <w:szCs w:val="22"/>
        </w:rPr>
      </w:pPr>
    </w:p>
    <w:p w14:paraId="622647D8" w14:textId="1420A4C7" w:rsidR="004D7069" w:rsidRPr="00D910F0" w:rsidRDefault="00EB6420" w:rsidP="0012782C">
      <w:pPr>
        <w:pStyle w:val="Default"/>
        <w:tabs>
          <w:tab w:val="left" w:pos="8344"/>
        </w:tabs>
        <w:rPr>
          <w:rFonts w:asciiTheme="minorHAnsi" w:hAnsiTheme="minorHAnsi" w:cstheme="minorHAnsi"/>
          <w:color w:val="auto"/>
          <w:sz w:val="22"/>
          <w:szCs w:val="22"/>
        </w:rPr>
      </w:pPr>
      <w:r w:rsidRPr="00F658E7">
        <w:rPr>
          <w:rFonts w:asciiTheme="minorHAnsi" w:hAnsiTheme="minorHAnsi" w:cstheme="minorHAnsi"/>
          <w:color w:val="auto"/>
          <w:sz w:val="22"/>
          <w:szCs w:val="22"/>
        </w:rPr>
        <w:t xml:space="preserve">This quote from </w:t>
      </w:r>
      <w:proofErr w:type="spellStart"/>
      <w:r w:rsidRPr="00F658E7">
        <w:rPr>
          <w:rFonts w:asciiTheme="minorHAnsi" w:hAnsiTheme="minorHAnsi" w:cstheme="minorHAnsi"/>
          <w:color w:val="auto"/>
          <w:sz w:val="22"/>
          <w:szCs w:val="22"/>
        </w:rPr>
        <w:t>Ayolabi</w:t>
      </w:r>
      <w:proofErr w:type="spellEnd"/>
      <w:r w:rsidRPr="00F658E7">
        <w:rPr>
          <w:rFonts w:asciiTheme="minorHAnsi" w:hAnsiTheme="minorHAnsi" w:cstheme="minorHAnsi"/>
          <w:color w:val="auto"/>
          <w:sz w:val="22"/>
          <w:szCs w:val="22"/>
        </w:rPr>
        <w:t xml:space="preserve"> Martins, </w:t>
      </w:r>
      <w:r w:rsidRPr="00665B84">
        <w:rPr>
          <w:rStyle w:val="Emphasis"/>
          <w:rFonts w:asciiTheme="minorHAnsi" w:hAnsiTheme="minorHAnsi" w:cstheme="minorHAnsi"/>
          <w:i w:val="0"/>
          <w:iCs w:val="0"/>
          <w:color w:val="auto"/>
          <w:sz w:val="22"/>
          <w:szCs w:val="22"/>
          <w:shd w:val="clear" w:color="auto" w:fill="FFFFFF"/>
        </w:rPr>
        <w:t xml:space="preserve">a former Youth MP for the Upper Harbour, wheelchair user and disability activist who currently lives in </w:t>
      </w:r>
      <w:proofErr w:type="spellStart"/>
      <w:r w:rsidRPr="00665B84">
        <w:rPr>
          <w:rStyle w:val="Emphasis"/>
          <w:rFonts w:asciiTheme="minorHAnsi" w:hAnsiTheme="minorHAnsi" w:cstheme="minorHAnsi"/>
          <w:i w:val="0"/>
          <w:iCs w:val="0"/>
          <w:color w:val="auto"/>
          <w:sz w:val="22"/>
          <w:szCs w:val="22"/>
          <w:shd w:val="clear" w:color="auto" w:fill="FFFFFF"/>
        </w:rPr>
        <w:t>Tāmaki</w:t>
      </w:r>
      <w:proofErr w:type="spellEnd"/>
      <w:r w:rsidRPr="00665B84">
        <w:rPr>
          <w:rStyle w:val="Emphasis"/>
          <w:rFonts w:asciiTheme="minorHAnsi" w:hAnsiTheme="minorHAnsi" w:cstheme="minorHAnsi"/>
          <w:i w:val="0"/>
          <w:iCs w:val="0"/>
          <w:color w:val="auto"/>
          <w:sz w:val="22"/>
          <w:szCs w:val="22"/>
          <w:shd w:val="clear" w:color="auto" w:fill="FFFFFF"/>
        </w:rPr>
        <w:t xml:space="preserve"> </w:t>
      </w:r>
      <w:proofErr w:type="spellStart"/>
      <w:r w:rsidRPr="00665B84">
        <w:rPr>
          <w:rStyle w:val="Emphasis"/>
          <w:rFonts w:asciiTheme="minorHAnsi" w:hAnsiTheme="minorHAnsi" w:cstheme="minorHAnsi"/>
          <w:i w:val="0"/>
          <w:iCs w:val="0"/>
          <w:color w:val="auto"/>
          <w:sz w:val="22"/>
          <w:szCs w:val="22"/>
          <w:shd w:val="clear" w:color="auto" w:fill="FFFFFF"/>
        </w:rPr>
        <w:t>Makaurau</w:t>
      </w:r>
      <w:proofErr w:type="spellEnd"/>
      <w:r w:rsidRPr="00F22E21">
        <w:rPr>
          <w:rStyle w:val="Emphasis"/>
          <w:rFonts w:asciiTheme="minorHAnsi" w:hAnsiTheme="minorHAnsi" w:cstheme="minorHAnsi"/>
          <w:color w:val="auto"/>
          <w:sz w:val="22"/>
          <w:szCs w:val="22"/>
          <w:shd w:val="clear" w:color="auto" w:fill="FFFFFF"/>
        </w:rPr>
        <w:t xml:space="preserve"> </w:t>
      </w:r>
      <w:r w:rsidRPr="00F658E7">
        <w:rPr>
          <w:rStyle w:val="Emphasis"/>
          <w:rFonts w:asciiTheme="minorHAnsi" w:hAnsiTheme="minorHAnsi" w:cstheme="minorHAnsi"/>
          <w:color w:val="auto"/>
          <w:sz w:val="22"/>
          <w:szCs w:val="22"/>
          <w:shd w:val="clear" w:color="auto" w:fill="FFFFFF"/>
        </w:rPr>
        <w:t>(</w:t>
      </w:r>
      <w:hyperlink r:id="rId9" w:history="1">
        <w:r w:rsidRPr="00F658E7">
          <w:rPr>
            <w:rStyle w:val="Hyperlink"/>
            <w:rFonts w:asciiTheme="minorHAnsi" w:hAnsiTheme="minorHAnsi" w:cstheme="minorHAnsi"/>
            <w:color w:val="auto"/>
            <w:sz w:val="22"/>
            <w:szCs w:val="22"/>
            <w:shd w:val="clear" w:color="auto" w:fill="FFFFFF"/>
          </w:rPr>
          <w:t>https://www.renews.co.nz/im-year-13-and-disabled-my-future-depends-on-how-accessible-nz-unis-are/</w:t>
        </w:r>
      </w:hyperlink>
      <w:r w:rsidRPr="00F658E7">
        <w:rPr>
          <w:rStyle w:val="Emphasis"/>
          <w:rFonts w:asciiTheme="minorHAnsi" w:hAnsiTheme="minorHAnsi" w:cstheme="minorHAnsi"/>
          <w:color w:val="auto"/>
          <w:sz w:val="22"/>
          <w:szCs w:val="22"/>
          <w:shd w:val="clear" w:color="auto" w:fill="FFFFFF"/>
        </w:rPr>
        <w:t xml:space="preserve"> </w:t>
      </w:r>
      <w:r w:rsidRPr="00665B84">
        <w:rPr>
          <w:rStyle w:val="Emphasis"/>
          <w:rFonts w:asciiTheme="minorHAnsi" w:hAnsiTheme="minorHAnsi" w:cstheme="minorHAnsi"/>
          <w:i w:val="0"/>
          <w:iCs w:val="0"/>
          <w:color w:val="auto"/>
          <w:sz w:val="22"/>
          <w:szCs w:val="22"/>
          <w:shd w:val="clear" w:color="auto" w:fill="FFFFFF"/>
        </w:rPr>
        <w:t>accessed 10 October 2022)</w:t>
      </w:r>
      <w:r w:rsidRPr="00665B84">
        <w:rPr>
          <w:rStyle w:val="Emphasis"/>
          <w:rFonts w:asciiTheme="minorHAnsi" w:hAnsiTheme="minorHAnsi" w:cstheme="minorHAnsi"/>
          <w:color w:val="auto"/>
          <w:sz w:val="22"/>
          <w:szCs w:val="22"/>
          <w:shd w:val="clear" w:color="auto" w:fill="FFFFFF"/>
        </w:rPr>
        <w:t xml:space="preserve"> </w:t>
      </w:r>
      <w:r w:rsidRPr="00665B84">
        <w:rPr>
          <w:rStyle w:val="Emphasis"/>
          <w:rFonts w:asciiTheme="minorHAnsi" w:hAnsiTheme="minorHAnsi" w:cstheme="minorHAnsi"/>
          <w:i w:val="0"/>
          <w:iCs w:val="0"/>
          <w:color w:val="auto"/>
          <w:sz w:val="22"/>
          <w:szCs w:val="22"/>
          <w:shd w:val="clear" w:color="auto" w:fill="FFFFFF"/>
        </w:rPr>
        <w:t>speak</w:t>
      </w:r>
      <w:r w:rsidRPr="00F22E21">
        <w:rPr>
          <w:rStyle w:val="Emphasis"/>
          <w:rFonts w:asciiTheme="minorHAnsi" w:hAnsiTheme="minorHAnsi" w:cstheme="minorHAnsi"/>
          <w:i w:val="0"/>
          <w:iCs w:val="0"/>
          <w:color w:val="auto"/>
          <w:sz w:val="22"/>
          <w:szCs w:val="22"/>
          <w:shd w:val="clear" w:color="auto" w:fill="FFFFFF"/>
        </w:rPr>
        <w:t xml:space="preserve">s </w:t>
      </w:r>
      <w:r w:rsidR="00E866AB" w:rsidRPr="00D910F0">
        <w:rPr>
          <w:rFonts w:asciiTheme="minorHAnsi" w:hAnsiTheme="minorHAnsi" w:cstheme="minorHAnsi"/>
          <w:color w:val="auto"/>
          <w:sz w:val="22"/>
          <w:szCs w:val="22"/>
        </w:rPr>
        <w:t xml:space="preserve">to the importance of universities </w:t>
      </w:r>
      <w:r w:rsidR="00380D7C" w:rsidRPr="00D910F0">
        <w:rPr>
          <w:rFonts w:asciiTheme="minorHAnsi" w:hAnsiTheme="minorHAnsi" w:cstheme="minorHAnsi"/>
          <w:color w:val="auto"/>
          <w:sz w:val="22"/>
          <w:szCs w:val="22"/>
        </w:rPr>
        <w:t xml:space="preserve">making quality tertiary education available to </w:t>
      </w:r>
      <w:r w:rsidR="00CB45DC" w:rsidRPr="00D910F0">
        <w:rPr>
          <w:rFonts w:asciiTheme="minorHAnsi" w:hAnsiTheme="minorHAnsi" w:cstheme="minorHAnsi"/>
          <w:color w:val="auto"/>
          <w:sz w:val="22"/>
          <w:szCs w:val="22"/>
        </w:rPr>
        <w:t>everyone</w:t>
      </w:r>
      <w:r w:rsidRPr="00D910F0">
        <w:rPr>
          <w:rFonts w:asciiTheme="minorHAnsi" w:hAnsiTheme="minorHAnsi" w:cstheme="minorHAnsi"/>
          <w:color w:val="auto"/>
          <w:sz w:val="22"/>
          <w:szCs w:val="22"/>
        </w:rPr>
        <w:t xml:space="preserve">. </w:t>
      </w:r>
      <w:r w:rsidR="004D7069" w:rsidRPr="00D910F0">
        <w:rPr>
          <w:rFonts w:asciiTheme="minorHAnsi" w:hAnsiTheme="minorHAnsi" w:cstheme="minorHAnsi"/>
          <w:color w:val="auto"/>
          <w:sz w:val="22"/>
          <w:szCs w:val="22"/>
        </w:rPr>
        <w:t xml:space="preserve">The development of a Disability Action Plan is an important step towards </w:t>
      </w:r>
      <w:r w:rsidR="002E125F" w:rsidRPr="00D910F0">
        <w:rPr>
          <w:rFonts w:asciiTheme="minorHAnsi" w:hAnsiTheme="minorHAnsi" w:cstheme="minorHAnsi"/>
          <w:color w:val="auto"/>
          <w:sz w:val="22"/>
          <w:szCs w:val="22"/>
        </w:rPr>
        <w:t>this goal.</w:t>
      </w:r>
      <w:r w:rsidR="0085555D">
        <w:rPr>
          <w:rFonts w:asciiTheme="minorHAnsi" w:hAnsiTheme="minorHAnsi" w:cstheme="minorHAnsi"/>
          <w:color w:val="auto"/>
          <w:sz w:val="22"/>
          <w:szCs w:val="22"/>
        </w:rPr>
        <w:t xml:space="preserve"> It is understood that staff in universities who are disabled or impaired also face challenges and that sustained effort is required to meet their needs. </w:t>
      </w:r>
      <w:r w:rsidR="00622BD7">
        <w:rPr>
          <w:rFonts w:asciiTheme="minorHAnsi" w:hAnsiTheme="minorHAnsi" w:cstheme="minorHAnsi"/>
        </w:rPr>
        <w:t>If</w:t>
      </w:r>
      <w:r w:rsidR="00622BD7" w:rsidRPr="00E1272C">
        <w:rPr>
          <w:rFonts w:asciiTheme="minorHAnsi" w:hAnsiTheme="minorHAnsi" w:cstheme="minorHAnsi"/>
        </w:rPr>
        <w:t xml:space="preserve"> </w:t>
      </w:r>
      <w:r w:rsidR="00622BD7" w:rsidRPr="00E1272C">
        <w:rPr>
          <w:rFonts w:asciiTheme="minorHAnsi" w:hAnsiTheme="minorHAnsi" w:cstheme="minorHAnsi"/>
          <w:color w:val="222222"/>
          <w:shd w:val="clear" w:color="auto" w:fill="FFFFFF"/>
        </w:rPr>
        <w:t>we are to build a supportive community for disabled learners then the institution itself needs to tackle the ingrained ableism in the workplace for staff and students.</w:t>
      </w:r>
      <w:r w:rsidR="00622BD7">
        <w:rPr>
          <w:rFonts w:ascii="Arial" w:hAnsi="Arial" w:cs="Arial"/>
          <w:color w:val="222222"/>
          <w:shd w:val="clear" w:color="auto" w:fill="FFFFFF"/>
        </w:rPr>
        <w:t xml:space="preserve"> </w:t>
      </w:r>
      <w:r w:rsidR="0085555D">
        <w:rPr>
          <w:rFonts w:asciiTheme="minorHAnsi" w:hAnsiTheme="minorHAnsi" w:cstheme="minorHAnsi"/>
          <w:color w:val="auto"/>
          <w:sz w:val="22"/>
          <w:szCs w:val="22"/>
        </w:rPr>
        <w:t>This Plan, however, focuses on disabled learners</w:t>
      </w:r>
      <w:r w:rsidR="00622BD7">
        <w:rPr>
          <w:rFonts w:asciiTheme="minorHAnsi" w:hAnsiTheme="minorHAnsi" w:cstheme="minorHAnsi"/>
          <w:color w:val="auto"/>
          <w:sz w:val="22"/>
          <w:szCs w:val="22"/>
        </w:rPr>
        <w:t xml:space="preserve">, </w:t>
      </w:r>
      <w:r w:rsidR="0085555D">
        <w:rPr>
          <w:rFonts w:asciiTheme="minorHAnsi" w:hAnsiTheme="minorHAnsi" w:cstheme="minorHAnsi"/>
          <w:color w:val="auto"/>
          <w:sz w:val="22"/>
          <w:szCs w:val="22"/>
        </w:rPr>
        <w:t>as required by the TEC</w:t>
      </w:r>
      <w:r w:rsidR="00622BD7">
        <w:rPr>
          <w:rFonts w:asciiTheme="minorHAnsi" w:hAnsiTheme="minorHAnsi" w:cstheme="minorHAnsi"/>
          <w:color w:val="auto"/>
          <w:sz w:val="22"/>
          <w:szCs w:val="22"/>
        </w:rPr>
        <w:t>,</w:t>
      </w:r>
      <w:r w:rsidR="00A212BF">
        <w:rPr>
          <w:rFonts w:asciiTheme="minorHAnsi" w:hAnsiTheme="minorHAnsi" w:cstheme="minorHAnsi"/>
          <w:color w:val="auto"/>
          <w:sz w:val="22"/>
          <w:szCs w:val="22"/>
        </w:rPr>
        <w:t xml:space="preserve"> </w:t>
      </w:r>
      <w:r w:rsidR="00622BD7">
        <w:rPr>
          <w:rFonts w:asciiTheme="minorHAnsi" w:hAnsiTheme="minorHAnsi" w:cstheme="minorHAnsi"/>
          <w:color w:val="auto"/>
          <w:sz w:val="22"/>
          <w:szCs w:val="22"/>
        </w:rPr>
        <w:t>with the aim of creating</w:t>
      </w:r>
      <w:r w:rsidR="00A212BF">
        <w:rPr>
          <w:rFonts w:asciiTheme="minorHAnsi" w:hAnsiTheme="minorHAnsi" w:cstheme="minorHAnsi"/>
          <w:color w:val="auto"/>
          <w:sz w:val="22"/>
          <w:szCs w:val="22"/>
        </w:rPr>
        <w:t xml:space="preserve"> a more inclusive and </w:t>
      </w:r>
      <w:r w:rsidR="004813E7">
        <w:rPr>
          <w:rFonts w:asciiTheme="minorHAnsi" w:hAnsiTheme="minorHAnsi" w:cstheme="minorHAnsi"/>
          <w:color w:val="auto"/>
          <w:sz w:val="22"/>
          <w:szCs w:val="22"/>
        </w:rPr>
        <w:t>equitable tertiary education environment for disabled learners</w:t>
      </w:r>
      <w:r w:rsidR="0085555D">
        <w:rPr>
          <w:rFonts w:asciiTheme="minorHAnsi" w:hAnsiTheme="minorHAnsi" w:cstheme="minorHAnsi"/>
          <w:color w:val="auto"/>
          <w:sz w:val="22"/>
          <w:szCs w:val="22"/>
        </w:rPr>
        <w:t>.</w:t>
      </w:r>
    </w:p>
    <w:p w14:paraId="7E8DA581" w14:textId="77777777" w:rsidR="004D7069" w:rsidRPr="00D910F0" w:rsidRDefault="004D7069" w:rsidP="0012782C">
      <w:pPr>
        <w:pStyle w:val="Default"/>
        <w:tabs>
          <w:tab w:val="left" w:pos="8344"/>
        </w:tabs>
        <w:rPr>
          <w:rFonts w:asciiTheme="minorHAnsi" w:hAnsiTheme="minorHAnsi" w:cstheme="minorHAnsi"/>
          <w:color w:val="auto"/>
          <w:sz w:val="22"/>
          <w:szCs w:val="22"/>
        </w:rPr>
      </w:pPr>
    </w:p>
    <w:p w14:paraId="72CEA4FC" w14:textId="1E36D18A" w:rsidR="004D7069" w:rsidRPr="00D910F0" w:rsidRDefault="004D7069" w:rsidP="0012782C">
      <w:pPr>
        <w:spacing w:after="0" w:line="240" w:lineRule="auto"/>
        <w:rPr>
          <w:rFonts w:eastAsia="Calibri" w:cstheme="minorHAnsi"/>
          <w:lang w:val="en" w:eastAsia="en-NZ"/>
        </w:rPr>
      </w:pPr>
      <w:r w:rsidRPr="00D910F0">
        <w:rPr>
          <w:rFonts w:eastAsia="Calibri" w:cstheme="minorHAnsi"/>
          <w:lang w:val="en" w:eastAsia="en-NZ"/>
        </w:rPr>
        <w:t xml:space="preserve">The </w:t>
      </w:r>
      <w:r w:rsidR="00852403" w:rsidRPr="00D910F0">
        <w:rPr>
          <w:rFonts w:eastAsia="Calibri" w:cstheme="minorHAnsi"/>
          <w:lang w:val="en" w:eastAsia="en-NZ"/>
        </w:rPr>
        <w:t xml:space="preserve">development and implementation of a </w:t>
      </w:r>
      <w:r w:rsidRPr="00D910F0">
        <w:rPr>
          <w:rFonts w:eastAsia="Calibri" w:cstheme="minorHAnsi"/>
          <w:lang w:val="en" w:eastAsia="en-NZ"/>
        </w:rPr>
        <w:t>Disability Action Plan is grounded in law and policy, that is informed by Aotearoa New Zealand’s international human rights obligations generally, and by its obligations regarding persons with disabilities in particular. The rights to equality and non-discrimination are core to the effective implementation of these rights with the United Nations Convention on the Rights of Persons with Disabilities (CRPD) being of particular significance to the development of the Disability Action Plan.</w:t>
      </w:r>
      <w:r w:rsidR="002E125F" w:rsidRPr="00D910F0">
        <w:rPr>
          <w:rFonts w:eastAsia="Calibri" w:cstheme="minorHAnsi"/>
          <w:lang w:val="en" w:eastAsia="en-NZ"/>
        </w:rPr>
        <w:t xml:space="preserve"> </w:t>
      </w:r>
    </w:p>
    <w:p w14:paraId="7C9C40F8" w14:textId="77777777" w:rsidR="004D7069" w:rsidRPr="00D910F0" w:rsidRDefault="004D7069" w:rsidP="0012782C">
      <w:pPr>
        <w:spacing w:after="0" w:line="240" w:lineRule="auto"/>
        <w:rPr>
          <w:rFonts w:eastAsia="Calibri" w:cstheme="minorHAnsi"/>
          <w:lang w:val="en" w:eastAsia="en-NZ"/>
        </w:rPr>
      </w:pPr>
      <w:r w:rsidRPr="00D910F0">
        <w:rPr>
          <w:rFonts w:eastAsia="Calibri" w:cstheme="minorHAnsi"/>
          <w:lang w:val="en" w:eastAsia="en-NZ"/>
        </w:rPr>
        <w:t xml:space="preserve"> </w:t>
      </w:r>
    </w:p>
    <w:p w14:paraId="117559D1" w14:textId="3FE21CE8" w:rsidR="004D7069" w:rsidRPr="00D910F0" w:rsidRDefault="002E125F" w:rsidP="0012782C">
      <w:pPr>
        <w:spacing w:after="0" w:line="240" w:lineRule="auto"/>
        <w:rPr>
          <w:rFonts w:eastAsia="Calibri" w:cstheme="minorHAnsi"/>
          <w:lang w:val="en" w:eastAsia="en-NZ"/>
        </w:rPr>
      </w:pPr>
      <w:r w:rsidRPr="00D910F0">
        <w:rPr>
          <w:rFonts w:eastAsia="Calibri" w:cstheme="minorHAnsi"/>
          <w:lang w:val="en" w:eastAsia="en-NZ"/>
        </w:rPr>
        <w:t>The obligations to protect and promote the rights of disabled people</w:t>
      </w:r>
      <w:r w:rsidR="006E7D82" w:rsidRPr="00D910F0">
        <w:rPr>
          <w:rFonts w:eastAsia="Calibri" w:cstheme="minorHAnsi"/>
          <w:lang w:val="en" w:eastAsia="en-NZ"/>
        </w:rPr>
        <w:t xml:space="preserve"> enshrined in the CRPD</w:t>
      </w:r>
      <w:r w:rsidRPr="00D910F0">
        <w:rPr>
          <w:rFonts w:eastAsia="Calibri" w:cstheme="minorHAnsi"/>
          <w:lang w:val="en" w:eastAsia="en-NZ"/>
        </w:rPr>
        <w:t xml:space="preserve"> are reflected and reinforced in New Zealand laws and policies. </w:t>
      </w:r>
      <w:r w:rsidR="004D7069" w:rsidRPr="00D910F0">
        <w:rPr>
          <w:rFonts w:eastAsia="Calibri" w:cstheme="minorHAnsi"/>
          <w:lang w:val="en" w:eastAsia="en-NZ"/>
        </w:rPr>
        <w:t>The New Zealand Bill of Rights 1990 is a core piece of domestic law, as it states that everyone has the right to be free from discrimination. The Human Rights Act 1993 sets out what grounds of discrimination are prohibited, and includes discrimination on the grounds of disability.  The Education and Training Act 2020 also has a role to play as it identifies safety and well-being as one of its purposes (s 4), and its requirement of tertiary education strategy (s 7).</w:t>
      </w:r>
    </w:p>
    <w:p w14:paraId="5E0353CE" w14:textId="77777777" w:rsidR="004D7069" w:rsidRPr="00D910F0" w:rsidRDefault="004D7069" w:rsidP="0012782C">
      <w:pPr>
        <w:spacing w:after="0" w:line="240" w:lineRule="auto"/>
        <w:rPr>
          <w:rFonts w:eastAsia="Calibri" w:cstheme="minorHAnsi"/>
          <w:lang w:val="en" w:eastAsia="en-NZ"/>
        </w:rPr>
      </w:pPr>
      <w:r w:rsidRPr="00D910F0">
        <w:rPr>
          <w:rFonts w:eastAsia="Calibri" w:cstheme="minorHAnsi"/>
          <w:lang w:val="en" w:eastAsia="en-NZ"/>
        </w:rPr>
        <w:t xml:space="preserve"> </w:t>
      </w:r>
    </w:p>
    <w:p w14:paraId="5A39403A" w14:textId="567F165C" w:rsidR="002E125F" w:rsidRPr="00D910F0" w:rsidRDefault="004D7069" w:rsidP="0012782C">
      <w:pPr>
        <w:spacing w:line="240" w:lineRule="auto"/>
        <w:rPr>
          <w:rFonts w:eastAsia="Calibri" w:cstheme="minorHAnsi"/>
          <w:lang w:eastAsia="en-NZ"/>
        </w:rPr>
      </w:pPr>
      <w:r w:rsidRPr="00D910F0">
        <w:rPr>
          <w:rFonts w:eastAsia="Calibri" w:cstheme="minorHAnsi"/>
          <w:lang w:val="en" w:eastAsia="en-NZ"/>
        </w:rPr>
        <w:t>At the policy</w:t>
      </w:r>
      <w:r w:rsidR="00811B0D" w:rsidRPr="00D910F0">
        <w:rPr>
          <w:rFonts w:eastAsia="Calibri" w:cstheme="minorHAnsi"/>
          <w:lang w:val="en" w:eastAsia="en-NZ"/>
        </w:rPr>
        <w:t xml:space="preserve"> level</w:t>
      </w:r>
      <w:r w:rsidRPr="00D910F0">
        <w:rPr>
          <w:rFonts w:eastAsia="Calibri" w:cstheme="minorHAnsi"/>
          <w:lang w:val="en" w:eastAsia="en-NZ"/>
        </w:rPr>
        <w:t xml:space="preserve"> </w:t>
      </w:r>
      <w:r w:rsidR="002E125F" w:rsidRPr="00D910F0">
        <w:rPr>
          <w:rFonts w:eastAsia="Calibri" w:cstheme="minorHAnsi"/>
          <w:lang w:val="en" w:eastAsia="en-NZ"/>
        </w:rPr>
        <w:t>these rights are reinforced</w:t>
      </w:r>
      <w:r w:rsidRPr="00D910F0">
        <w:rPr>
          <w:rFonts w:eastAsia="Calibri" w:cstheme="minorHAnsi"/>
          <w:lang w:val="en" w:eastAsia="en-NZ"/>
        </w:rPr>
        <w:t xml:space="preserve"> by New Zealand’s broader</w:t>
      </w:r>
      <w:hyperlink r:id="rId10">
        <w:r w:rsidRPr="00665B84">
          <w:rPr>
            <w:rFonts w:eastAsia="Calibri" w:cstheme="minorHAnsi"/>
            <w:lang w:val="en" w:eastAsia="en-NZ"/>
          </w:rPr>
          <w:t xml:space="preserve"> </w:t>
        </w:r>
      </w:hyperlink>
      <w:hyperlink r:id="rId11">
        <w:r w:rsidRPr="00F658E7">
          <w:rPr>
            <w:rFonts w:eastAsia="Calibri" w:cstheme="minorHAnsi"/>
            <w:u w:val="single"/>
            <w:lang w:val="en" w:eastAsia="en-NZ"/>
          </w:rPr>
          <w:t>Disability Action Plan</w:t>
        </w:r>
      </w:hyperlink>
      <w:r w:rsidRPr="00665B84">
        <w:rPr>
          <w:rFonts w:eastAsia="Calibri" w:cstheme="minorHAnsi"/>
          <w:lang w:val="en" w:eastAsia="en-NZ"/>
        </w:rPr>
        <w:t>, and its</w:t>
      </w:r>
      <w:hyperlink r:id="rId12">
        <w:r w:rsidRPr="00665B84">
          <w:rPr>
            <w:rFonts w:eastAsia="Calibri" w:cstheme="minorHAnsi"/>
            <w:lang w:val="en" w:eastAsia="en-NZ"/>
          </w:rPr>
          <w:t xml:space="preserve"> </w:t>
        </w:r>
      </w:hyperlink>
      <w:hyperlink r:id="rId13">
        <w:r w:rsidRPr="00F658E7">
          <w:rPr>
            <w:rFonts w:eastAsia="Calibri" w:cstheme="minorHAnsi"/>
            <w:u w:val="single"/>
            <w:lang w:val="en" w:eastAsia="en-NZ"/>
          </w:rPr>
          <w:t>Disability Strategy</w:t>
        </w:r>
      </w:hyperlink>
      <w:r w:rsidR="002E125F" w:rsidRPr="00665B84">
        <w:rPr>
          <w:rFonts w:eastAsia="Calibri" w:cstheme="minorHAnsi"/>
          <w:lang w:val="en" w:eastAsia="en-NZ"/>
        </w:rPr>
        <w:t xml:space="preserve"> (NZ Disability Strategy 2016-2026)</w:t>
      </w:r>
      <w:r w:rsidRPr="00665B84">
        <w:rPr>
          <w:rFonts w:eastAsia="Calibri" w:cstheme="minorHAnsi"/>
          <w:lang w:val="en" w:eastAsia="en-NZ"/>
        </w:rPr>
        <w:t xml:space="preserve"> </w:t>
      </w:r>
      <w:r w:rsidR="002E125F" w:rsidRPr="00665B84">
        <w:rPr>
          <w:rFonts w:eastAsia="Calibri" w:cstheme="minorHAnsi"/>
          <w:lang w:eastAsia="en-NZ"/>
        </w:rPr>
        <w:t>which was co-develope</w:t>
      </w:r>
      <w:r w:rsidR="002E125F" w:rsidRPr="00F22E21">
        <w:rPr>
          <w:rFonts w:eastAsia="Calibri" w:cstheme="minorHAnsi"/>
          <w:lang w:eastAsia="en-NZ"/>
        </w:rPr>
        <w:t xml:space="preserve">d with disabled people and states in Outcome 1 - Education, ‘We get an excellent education and achieve our potential throughout our lives’ (ODI NZ Disability Strategy). </w:t>
      </w:r>
      <w:r w:rsidRPr="00F22E21">
        <w:rPr>
          <w:rFonts w:eastAsia="Calibri" w:cstheme="minorHAnsi"/>
          <w:lang w:val="en" w:eastAsia="en-NZ"/>
        </w:rPr>
        <w:t>The</w:t>
      </w:r>
      <w:hyperlink r:id="rId14">
        <w:r w:rsidRPr="00665B84">
          <w:rPr>
            <w:rFonts w:eastAsia="Calibri" w:cstheme="minorHAnsi"/>
            <w:lang w:val="en" w:eastAsia="en-NZ"/>
          </w:rPr>
          <w:t xml:space="preserve"> </w:t>
        </w:r>
      </w:hyperlink>
      <w:hyperlink r:id="rId15">
        <w:r w:rsidRPr="00F658E7">
          <w:rPr>
            <w:rFonts w:eastAsia="Calibri" w:cstheme="minorHAnsi"/>
            <w:u w:val="single"/>
            <w:lang w:val="en" w:eastAsia="en-NZ"/>
          </w:rPr>
          <w:t>Tertiary Education Strategy</w:t>
        </w:r>
      </w:hyperlink>
      <w:r w:rsidRPr="00665B84">
        <w:rPr>
          <w:rFonts w:eastAsia="Calibri" w:cstheme="minorHAnsi"/>
          <w:lang w:val="en" w:eastAsia="en-NZ"/>
        </w:rPr>
        <w:t xml:space="preserve"> (TES) and the Statement of National Education and Learning Priorities (NELP) further frame accessibility and inclusivity in education</w:t>
      </w:r>
      <w:r w:rsidR="002E125F" w:rsidRPr="00665B84">
        <w:rPr>
          <w:rFonts w:eastAsia="Calibri" w:cstheme="minorHAnsi"/>
          <w:lang w:val="en" w:eastAsia="en-NZ"/>
        </w:rPr>
        <w:t xml:space="preserve"> as stated in the objectives to; </w:t>
      </w:r>
      <w:r w:rsidR="002E125F" w:rsidRPr="00665B84">
        <w:rPr>
          <w:rFonts w:eastAsia="Calibri" w:cstheme="minorHAnsi"/>
          <w:lang w:eastAsia="en-NZ"/>
        </w:rPr>
        <w:t>put learners with</w:t>
      </w:r>
      <w:r w:rsidR="002E125F" w:rsidRPr="00F22E21">
        <w:rPr>
          <w:rFonts w:eastAsia="Calibri" w:cstheme="minorHAnsi"/>
          <w:lang w:eastAsia="en-NZ"/>
        </w:rPr>
        <w:t xml:space="preserve"> their </w:t>
      </w:r>
      <w:proofErr w:type="spellStart"/>
      <w:r w:rsidR="002E125F" w:rsidRPr="00F22E21">
        <w:rPr>
          <w:rFonts w:eastAsia="Calibri" w:cstheme="minorHAnsi"/>
          <w:lang w:eastAsia="en-NZ"/>
        </w:rPr>
        <w:t>wh</w:t>
      </w:r>
      <w:r w:rsidR="004B07CF" w:rsidRPr="00F22E21">
        <w:rPr>
          <w:rFonts w:eastAsia="Calibri" w:cstheme="minorHAnsi"/>
          <w:lang w:eastAsia="en-NZ"/>
        </w:rPr>
        <w:t>ā</w:t>
      </w:r>
      <w:r w:rsidR="002E125F" w:rsidRPr="00F22E21">
        <w:rPr>
          <w:rFonts w:eastAsia="Calibri" w:cstheme="minorHAnsi"/>
          <w:lang w:eastAsia="en-NZ"/>
        </w:rPr>
        <w:t>nau</w:t>
      </w:r>
      <w:proofErr w:type="spellEnd"/>
      <w:r w:rsidR="002E125F" w:rsidRPr="00F22E21">
        <w:rPr>
          <w:rFonts w:eastAsia="Calibri" w:cstheme="minorHAnsi"/>
          <w:lang w:eastAsia="en-NZ"/>
        </w:rPr>
        <w:t xml:space="preserve"> at the centre of education; provide barrier free access to all learners, offer quality teaching and leadership, provide learning is relevant to the lives of New Zealanders today and in the future; and, deliver a world class inclusive public education.</w:t>
      </w:r>
      <w:r w:rsidR="002E125F" w:rsidRPr="00D910F0">
        <w:rPr>
          <w:rFonts w:eastAsia="Calibri" w:cstheme="minorHAnsi"/>
          <w:lang w:eastAsia="en-NZ"/>
        </w:rPr>
        <w:t xml:space="preserve"> </w:t>
      </w:r>
    </w:p>
    <w:p w14:paraId="2432BF6C" w14:textId="5C217E56" w:rsidR="00900B94" w:rsidRPr="00D910F0" w:rsidRDefault="002E125F" w:rsidP="0012782C">
      <w:pPr>
        <w:spacing w:line="240" w:lineRule="auto"/>
        <w:rPr>
          <w:rFonts w:eastAsia="Calibri" w:cstheme="minorHAnsi"/>
          <w:lang w:eastAsia="en-NZ"/>
        </w:rPr>
      </w:pPr>
      <w:proofErr w:type="spellStart"/>
      <w:r w:rsidRPr="00D910F0">
        <w:rPr>
          <w:rFonts w:eastAsia="Calibri" w:cstheme="minorHAnsi"/>
          <w:lang w:eastAsia="en-NZ"/>
        </w:rPr>
        <w:t>Te</w:t>
      </w:r>
      <w:proofErr w:type="spellEnd"/>
      <w:r w:rsidRPr="00D910F0">
        <w:rPr>
          <w:rFonts w:eastAsia="Calibri" w:cstheme="minorHAnsi"/>
          <w:lang w:eastAsia="en-NZ"/>
        </w:rPr>
        <w:t xml:space="preserve"> </w:t>
      </w:r>
      <w:proofErr w:type="spellStart"/>
      <w:r w:rsidRPr="00D910F0">
        <w:rPr>
          <w:rFonts w:eastAsia="Calibri" w:cstheme="minorHAnsi"/>
          <w:lang w:eastAsia="en-NZ"/>
        </w:rPr>
        <w:t>Whare</w:t>
      </w:r>
      <w:proofErr w:type="spellEnd"/>
      <w:r w:rsidRPr="00D910F0">
        <w:rPr>
          <w:rFonts w:eastAsia="Calibri" w:cstheme="minorHAnsi"/>
          <w:lang w:eastAsia="en-NZ"/>
        </w:rPr>
        <w:t xml:space="preserve"> </w:t>
      </w:r>
      <w:r w:rsidR="00E46554">
        <w:rPr>
          <w:rFonts w:eastAsia="Calibri" w:cstheme="minorHAnsi"/>
          <w:lang w:eastAsia="en-NZ"/>
        </w:rPr>
        <w:t xml:space="preserve">Wānanga </w:t>
      </w:r>
      <w:r w:rsidRPr="00F22E21">
        <w:rPr>
          <w:rFonts w:eastAsia="Calibri" w:cstheme="minorHAnsi"/>
          <w:lang w:eastAsia="en-NZ"/>
        </w:rPr>
        <w:t>o Waikato – The University of Waikato’s Disability Action Plan, and the commitment it conveys, sits within this context</w:t>
      </w:r>
      <w:r w:rsidR="00C101AF" w:rsidRPr="00F22E21">
        <w:rPr>
          <w:rFonts w:eastAsia="Calibri" w:cstheme="minorHAnsi"/>
          <w:lang w:eastAsia="en-NZ"/>
        </w:rPr>
        <w:t xml:space="preserve"> and within the Universit</w:t>
      </w:r>
      <w:r w:rsidR="004B07CF" w:rsidRPr="00F22E21">
        <w:rPr>
          <w:rFonts w:eastAsia="Calibri" w:cstheme="minorHAnsi"/>
          <w:lang w:eastAsia="en-NZ"/>
        </w:rPr>
        <w:t>y’</w:t>
      </w:r>
      <w:r w:rsidR="00C101AF" w:rsidRPr="00D910F0">
        <w:rPr>
          <w:rFonts w:eastAsia="Calibri" w:cstheme="minorHAnsi"/>
          <w:lang w:eastAsia="en-NZ"/>
        </w:rPr>
        <w:t xml:space="preserve">s commitment to </w:t>
      </w:r>
      <w:r w:rsidR="009E6BA9" w:rsidRPr="00D910F0">
        <w:rPr>
          <w:rFonts w:eastAsia="Calibri" w:cstheme="minorHAnsi"/>
          <w:lang w:eastAsia="en-NZ"/>
        </w:rPr>
        <w:t xml:space="preserve">the </w:t>
      </w:r>
      <w:proofErr w:type="spellStart"/>
      <w:r w:rsidR="009E6BA9" w:rsidRPr="00D910F0">
        <w:rPr>
          <w:rFonts w:eastAsia="Calibri" w:cstheme="minorHAnsi"/>
          <w:lang w:eastAsia="en-NZ"/>
        </w:rPr>
        <w:t>Te</w:t>
      </w:r>
      <w:proofErr w:type="spellEnd"/>
      <w:r w:rsidR="009E6BA9" w:rsidRPr="00D910F0">
        <w:rPr>
          <w:rFonts w:eastAsia="Calibri" w:cstheme="minorHAnsi"/>
          <w:lang w:eastAsia="en-NZ"/>
        </w:rPr>
        <w:t xml:space="preserve"> </w:t>
      </w:r>
      <w:proofErr w:type="spellStart"/>
      <w:r w:rsidR="009E6BA9" w:rsidRPr="00D910F0">
        <w:rPr>
          <w:rFonts w:eastAsia="Calibri" w:cstheme="minorHAnsi"/>
          <w:lang w:eastAsia="en-NZ"/>
        </w:rPr>
        <w:t>Tiriti</w:t>
      </w:r>
      <w:proofErr w:type="spellEnd"/>
      <w:r w:rsidR="009E6BA9" w:rsidRPr="00D910F0">
        <w:rPr>
          <w:rFonts w:eastAsia="Calibri" w:cstheme="minorHAnsi"/>
          <w:lang w:eastAsia="en-NZ"/>
        </w:rPr>
        <w:t xml:space="preserve"> o Waitangi as reflected in “</w:t>
      </w:r>
      <w:proofErr w:type="spellStart"/>
      <w:r w:rsidR="00F300B2">
        <w:fldChar w:fldCharType="begin"/>
      </w:r>
      <w:r w:rsidR="00F300B2">
        <w:instrText xml:space="preserve"> HYPERLINK "https://www.waikato.ac.nz/about/governance/university-of-waikato-treaty-statement" </w:instrText>
      </w:r>
      <w:r w:rsidR="00F300B2">
        <w:fldChar w:fldCharType="separate"/>
      </w:r>
      <w:r w:rsidR="009E6BA9" w:rsidRPr="00F658E7">
        <w:rPr>
          <w:rStyle w:val="Hyperlink"/>
          <w:rFonts w:eastAsia="Calibri" w:cstheme="minorHAnsi"/>
          <w:color w:val="auto"/>
          <w:lang w:eastAsia="en-NZ"/>
        </w:rPr>
        <w:t>Te</w:t>
      </w:r>
      <w:proofErr w:type="spellEnd"/>
      <w:r w:rsidR="009E6BA9" w:rsidRPr="00F658E7">
        <w:rPr>
          <w:rStyle w:val="Hyperlink"/>
          <w:rFonts w:eastAsia="Calibri" w:cstheme="minorHAnsi"/>
          <w:color w:val="auto"/>
          <w:lang w:eastAsia="en-NZ"/>
        </w:rPr>
        <w:t xml:space="preserve"> </w:t>
      </w:r>
      <w:proofErr w:type="spellStart"/>
      <w:r w:rsidR="009E6BA9" w:rsidRPr="00F658E7">
        <w:rPr>
          <w:rStyle w:val="Hyperlink"/>
          <w:rFonts w:eastAsia="Calibri" w:cstheme="minorHAnsi"/>
          <w:color w:val="auto"/>
          <w:lang w:eastAsia="en-NZ"/>
        </w:rPr>
        <w:t>Tiriti</w:t>
      </w:r>
      <w:proofErr w:type="spellEnd"/>
      <w:r w:rsidR="009E6BA9" w:rsidRPr="00F658E7">
        <w:rPr>
          <w:rStyle w:val="Hyperlink"/>
          <w:rFonts w:eastAsia="Calibri" w:cstheme="minorHAnsi"/>
          <w:color w:val="auto"/>
          <w:lang w:eastAsia="en-NZ"/>
        </w:rPr>
        <w:t xml:space="preserve"> o Waitangi me </w:t>
      </w:r>
      <w:proofErr w:type="spellStart"/>
      <w:r w:rsidR="009E6BA9" w:rsidRPr="00F658E7">
        <w:rPr>
          <w:rStyle w:val="Hyperlink"/>
          <w:rFonts w:eastAsia="Calibri" w:cstheme="minorHAnsi"/>
          <w:color w:val="auto"/>
          <w:lang w:eastAsia="en-NZ"/>
        </w:rPr>
        <w:t>te</w:t>
      </w:r>
      <w:proofErr w:type="spellEnd"/>
      <w:r w:rsidR="009E6BA9" w:rsidRPr="00F658E7">
        <w:rPr>
          <w:rStyle w:val="Hyperlink"/>
          <w:rFonts w:eastAsia="Calibri" w:cstheme="minorHAnsi"/>
          <w:color w:val="auto"/>
          <w:lang w:eastAsia="en-NZ"/>
        </w:rPr>
        <w:t xml:space="preserve"> </w:t>
      </w:r>
      <w:proofErr w:type="spellStart"/>
      <w:r w:rsidR="009E6BA9" w:rsidRPr="00F658E7">
        <w:rPr>
          <w:rStyle w:val="Hyperlink"/>
          <w:rFonts w:eastAsia="Calibri" w:cstheme="minorHAnsi"/>
          <w:color w:val="auto"/>
          <w:lang w:eastAsia="en-NZ"/>
        </w:rPr>
        <w:t>Whare</w:t>
      </w:r>
      <w:proofErr w:type="spellEnd"/>
      <w:r w:rsidR="009E6BA9" w:rsidRPr="00F658E7">
        <w:rPr>
          <w:rStyle w:val="Hyperlink"/>
          <w:rFonts w:eastAsia="Calibri" w:cstheme="minorHAnsi"/>
          <w:color w:val="auto"/>
          <w:lang w:eastAsia="en-NZ"/>
        </w:rPr>
        <w:t xml:space="preserve"> Wānanga o Waikato -The Treaty of Waitangi and the University of Waikato”</w:t>
      </w:r>
      <w:r w:rsidR="00F300B2">
        <w:rPr>
          <w:rStyle w:val="Hyperlink"/>
          <w:rFonts w:eastAsia="Calibri" w:cstheme="minorHAnsi"/>
          <w:color w:val="auto"/>
          <w:lang w:eastAsia="en-NZ"/>
        </w:rPr>
        <w:fldChar w:fldCharType="end"/>
      </w:r>
      <w:r w:rsidR="009E6BA9" w:rsidRPr="00665B84">
        <w:rPr>
          <w:rFonts w:eastAsia="Calibri" w:cstheme="minorHAnsi"/>
          <w:lang w:eastAsia="en-NZ"/>
        </w:rPr>
        <w:t xml:space="preserve"> statement</w:t>
      </w:r>
      <w:r w:rsidR="00900B94" w:rsidRPr="00665B84">
        <w:rPr>
          <w:rFonts w:eastAsia="Calibri" w:cstheme="minorHAnsi"/>
          <w:lang w:eastAsia="en-NZ"/>
        </w:rPr>
        <w:t>,</w:t>
      </w:r>
      <w:r w:rsidR="004B07CF" w:rsidRPr="00665B84">
        <w:rPr>
          <w:rFonts w:eastAsia="Calibri" w:cstheme="minorHAnsi"/>
          <w:lang w:eastAsia="en-NZ"/>
        </w:rPr>
        <w:t xml:space="preserve"> i</w:t>
      </w:r>
      <w:r w:rsidR="009E6BA9" w:rsidRPr="00F22E21">
        <w:rPr>
          <w:rFonts w:eastAsia="Calibri" w:cstheme="minorHAnsi"/>
          <w:lang w:eastAsia="en-NZ"/>
        </w:rPr>
        <w:t xml:space="preserve">n particular it </w:t>
      </w:r>
      <w:r w:rsidR="00E93A1F" w:rsidRPr="00F22E21">
        <w:rPr>
          <w:rFonts w:eastAsia="Calibri" w:cstheme="minorHAnsi"/>
          <w:lang w:eastAsia="en-NZ"/>
        </w:rPr>
        <w:t>reflects and aims to have outcomes that align with</w:t>
      </w:r>
      <w:r w:rsidR="009E6BA9" w:rsidRPr="00D910F0">
        <w:rPr>
          <w:rFonts w:eastAsia="Calibri" w:cstheme="minorHAnsi"/>
          <w:lang w:eastAsia="en-NZ"/>
        </w:rPr>
        <w:t xml:space="preserve"> the two key principles: </w:t>
      </w:r>
    </w:p>
    <w:p w14:paraId="249F6B2D" w14:textId="1B880941" w:rsidR="00900B94" w:rsidRPr="00D910F0" w:rsidRDefault="009E6BA9" w:rsidP="0012782C">
      <w:pPr>
        <w:spacing w:line="240" w:lineRule="auto"/>
        <w:ind w:left="390"/>
        <w:rPr>
          <w:rFonts w:eastAsia="Calibri" w:cstheme="minorHAnsi"/>
          <w:lang w:eastAsia="en-NZ"/>
        </w:rPr>
      </w:pPr>
      <w:r w:rsidRPr="00D910F0">
        <w:rPr>
          <w:rFonts w:eastAsia="Calibri" w:cstheme="minorHAnsi"/>
          <w:lang w:val="it-IT" w:eastAsia="en-NZ"/>
        </w:rPr>
        <w:t xml:space="preserve">1. “E kore tenei whakaoranga e huri ki tua o aku mokopuna.” </w:t>
      </w:r>
      <w:r w:rsidRPr="00D910F0">
        <w:rPr>
          <w:rFonts w:eastAsia="Calibri" w:cstheme="minorHAnsi"/>
          <w:lang w:eastAsia="en-NZ"/>
        </w:rPr>
        <w:t xml:space="preserve">“The generations of the future shall reap the rewards of the seeds that we have sown” </w:t>
      </w:r>
    </w:p>
    <w:p w14:paraId="2B0019C9" w14:textId="77777777" w:rsidR="00900B94" w:rsidRPr="00D910F0" w:rsidRDefault="009E6BA9" w:rsidP="0012782C">
      <w:pPr>
        <w:spacing w:line="240" w:lineRule="auto"/>
        <w:ind w:left="390"/>
        <w:rPr>
          <w:rFonts w:eastAsia="Calibri" w:cstheme="minorHAnsi"/>
          <w:lang w:eastAsia="en-NZ"/>
        </w:rPr>
      </w:pPr>
      <w:r w:rsidRPr="00D910F0">
        <w:rPr>
          <w:rFonts w:eastAsia="Calibri" w:cstheme="minorHAnsi"/>
          <w:lang w:val="it-IT" w:eastAsia="en-NZ"/>
        </w:rPr>
        <w:t xml:space="preserve">2. “Kotahi te kohao o te ngira e kuhuna ai te miro mā, te miro pango, te miro whero. </w:t>
      </w:r>
      <w:r w:rsidRPr="00D910F0">
        <w:rPr>
          <w:rFonts w:eastAsia="Calibri" w:cstheme="minorHAnsi"/>
          <w:lang w:val="nl-NL" w:eastAsia="en-NZ"/>
        </w:rPr>
        <w:t xml:space="preserve">I muri, kia mau ki te aroha, ki te ture, ki te whakapono”. </w:t>
      </w:r>
      <w:r w:rsidRPr="00D910F0">
        <w:rPr>
          <w:rFonts w:eastAsia="Calibri" w:cstheme="minorHAnsi"/>
          <w:lang w:eastAsia="en-NZ"/>
        </w:rPr>
        <w:t xml:space="preserve">“Through the eye of the needle pass the white threads, the black threads and the red threads. Afterwards, hold firmly to your love, the law and your faith”. </w:t>
      </w:r>
    </w:p>
    <w:p w14:paraId="2EB99F84" w14:textId="1E688697" w:rsidR="009E6BA9" w:rsidRPr="00D910F0" w:rsidRDefault="009E6BA9" w:rsidP="0012782C">
      <w:pPr>
        <w:spacing w:line="240" w:lineRule="auto"/>
        <w:rPr>
          <w:rFonts w:eastAsia="Calibri" w:cstheme="minorHAnsi"/>
          <w:lang w:eastAsia="en-NZ"/>
        </w:rPr>
      </w:pPr>
      <w:r w:rsidRPr="00D910F0">
        <w:rPr>
          <w:rFonts w:eastAsia="Calibri" w:cstheme="minorHAnsi"/>
          <w:lang w:eastAsia="en-NZ"/>
        </w:rPr>
        <w:t>The DAP is particularly aligned with this second principle which speaks to diversity of identity, and equality.</w:t>
      </w:r>
    </w:p>
    <w:p w14:paraId="177314E5" w14:textId="7A026F8B" w:rsidR="009E6BA9" w:rsidRPr="00D910F0" w:rsidRDefault="009E6BA9" w:rsidP="0012782C">
      <w:pPr>
        <w:spacing w:line="240" w:lineRule="auto"/>
        <w:ind w:left="390"/>
        <w:rPr>
          <w:rFonts w:eastAsia="Calibri" w:cstheme="minorHAnsi"/>
          <w:lang w:eastAsia="en-NZ"/>
        </w:rPr>
      </w:pPr>
      <w:r w:rsidRPr="00D910F0">
        <w:rPr>
          <w:rFonts w:eastAsia="Calibri" w:cstheme="minorHAnsi"/>
          <w:lang w:eastAsia="en-NZ"/>
        </w:rPr>
        <w:t xml:space="preserve">This </w:t>
      </w:r>
      <w:proofErr w:type="spellStart"/>
      <w:r w:rsidRPr="00D910F0">
        <w:rPr>
          <w:rFonts w:eastAsia="Calibri" w:cstheme="minorHAnsi"/>
          <w:lang w:eastAsia="en-NZ"/>
        </w:rPr>
        <w:t>whakatauākī</w:t>
      </w:r>
      <w:proofErr w:type="spellEnd"/>
      <w:r w:rsidRPr="00D910F0">
        <w:rPr>
          <w:rFonts w:eastAsia="Calibri" w:cstheme="minorHAnsi"/>
          <w:lang w:eastAsia="en-NZ"/>
        </w:rPr>
        <w:t xml:space="preserve"> is commonly interpreted as conveying a message of strength in unity and equality despite differences in identity. The different coloured threads join together in passing through the eye of the needle, but the identity and integrity of each colour of thread is maintained even while they contribute to a common purpose</w:t>
      </w:r>
      <w:r w:rsidR="00382528" w:rsidRPr="00D910F0">
        <w:rPr>
          <w:rFonts w:eastAsia="Calibri" w:cstheme="minorHAnsi"/>
          <w:lang w:eastAsia="en-NZ"/>
        </w:rPr>
        <w:t>.</w:t>
      </w:r>
    </w:p>
    <w:p w14:paraId="4A7E13D8" w14:textId="0D2DF244" w:rsidR="00E93A1F" w:rsidRPr="00D910F0" w:rsidRDefault="00E93A1F" w:rsidP="0012782C">
      <w:pPr>
        <w:spacing w:line="240" w:lineRule="auto"/>
        <w:rPr>
          <w:rFonts w:eastAsia="Calibri" w:cstheme="minorHAnsi"/>
          <w:lang w:eastAsia="en-NZ"/>
        </w:rPr>
      </w:pPr>
      <w:r w:rsidRPr="00D910F0">
        <w:rPr>
          <w:rFonts w:eastAsia="Calibri" w:cstheme="minorHAnsi"/>
          <w:lang w:eastAsia="en-NZ"/>
        </w:rPr>
        <w:t xml:space="preserve">Equally the DAP is aligned with the University of Waikato Pacific Strategic Plan (2021-2025) and the Pacific principles articulated in this </w:t>
      </w:r>
      <w:r w:rsidR="009F2B55">
        <w:rPr>
          <w:rFonts w:eastAsia="Calibri" w:cstheme="minorHAnsi"/>
          <w:lang w:eastAsia="en-NZ"/>
        </w:rPr>
        <w:t>P</w:t>
      </w:r>
      <w:r w:rsidR="009F2B55" w:rsidRPr="00D910F0">
        <w:rPr>
          <w:rFonts w:eastAsia="Calibri" w:cstheme="minorHAnsi"/>
          <w:lang w:eastAsia="en-NZ"/>
        </w:rPr>
        <w:t xml:space="preserve">lan </w:t>
      </w:r>
      <w:r w:rsidRPr="00D910F0">
        <w:t xml:space="preserve">including </w:t>
      </w:r>
      <w:proofErr w:type="spellStart"/>
      <w:r w:rsidRPr="00D910F0">
        <w:t>alofa</w:t>
      </w:r>
      <w:proofErr w:type="spellEnd"/>
      <w:r w:rsidRPr="00D910F0">
        <w:t>/̒</w:t>
      </w:r>
      <w:proofErr w:type="spellStart"/>
      <w:r w:rsidRPr="00D910F0">
        <w:t>ofa</w:t>
      </w:r>
      <w:proofErr w:type="spellEnd"/>
      <w:r w:rsidRPr="00D910F0">
        <w:t>/aloha (love, respect and really being in the presence of other human beings (Samoa/Tonga/</w:t>
      </w:r>
      <w:proofErr w:type="spellStart"/>
      <w:r w:rsidRPr="00D910F0">
        <w:t>Hawaiʿi</w:t>
      </w:r>
      <w:proofErr w:type="spellEnd"/>
      <w:r w:rsidRPr="00D910F0">
        <w:t xml:space="preserve">), </w:t>
      </w:r>
      <w:proofErr w:type="spellStart"/>
      <w:r w:rsidRPr="00D910F0">
        <w:t>fakatokilalo</w:t>
      </w:r>
      <w:proofErr w:type="spellEnd"/>
      <w:r w:rsidRPr="00D910F0">
        <w:t xml:space="preserve"> (humility (Tonga)), collective outcomes and success, </w:t>
      </w:r>
      <w:proofErr w:type="spellStart"/>
      <w:r w:rsidRPr="00D910F0">
        <w:t>sautu</w:t>
      </w:r>
      <w:proofErr w:type="spellEnd"/>
      <w:r w:rsidRPr="00D910F0">
        <w:t xml:space="preserve"> (holistic and collective well-being (Fiji)), and </w:t>
      </w:r>
      <w:proofErr w:type="spellStart"/>
      <w:r w:rsidRPr="00D910F0">
        <w:t>tautua</w:t>
      </w:r>
      <w:proofErr w:type="spellEnd"/>
      <w:r w:rsidRPr="00D910F0">
        <w:t>/</w:t>
      </w:r>
      <w:proofErr w:type="spellStart"/>
      <w:r w:rsidRPr="00D910F0">
        <w:t>kuleana</w:t>
      </w:r>
      <w:proofErr w:type="spellEnd"/>
      <w:r w:rsidRPr="00D910F0">
        <w:t xml:space="preserve"> (a leader’s responsibility for collective well-being and outcomes (Samoa/</w:t>
      </w:r>
      <w:proofErr w:type="spellStart"/>
      <w:r w:rsidRPr="00D910F0">
        <w:t>Hawaiʿi</w:t>
      </w:r>
      <w:proofErr w:type="spellEnd"/>
      <w:r w:rsidRPr="00D910F0">
        <w:t>).</w:t>
      </w:r>
    </w:p>
    <w:p w14:paraId="7FAC0D60" w14:textId="69F6BA50" w:rsidR="00C835D5" w:rsidRDefault="009E6BA9" w:rsidP="0012782C">
      <w:pPr>
        <w:spacing w:line="240" w:lineRule="auto"/>
        <w:rPr>
          <w:rFonts w:eastAsia="Calibri" w:cstheme="minorHAnsi"/>
          <w:lang w:eastAsia="en-NZ"/>
        </w:rPr>
      </w:pPr>
      <w:r w:rsidRPr="00D910F0">
        <w:rPr>
          <w:rFonts w:eastAsia="Calibri" w:cstheme="minorHAnsi"/>
          <w:lang w:eastAsia="en-NZ"/>
        </w:rPr>
        <w:t xml:space="preserve">The </w:t>
      </w:r>
      <w:r w:rsidR="00900B94" w:rsidRPr="00D910F0">
        <w:rPr>
          <w:rFonts w:eastAsia="Calibri" w:cstheme="minorHAnsi"/>
          <w:lang w:eastAsia="en-NZ"/>
        </w:rPr>
        <w:t xml:space="preserve">DAP </w:t>
      </w:r>
      <w:r w:rsidR="006C021B">
        <w:rPr>
          <w:rFonts w:eastAsia="Calibri" w:cstheme="minorHAnsi"/>
          <w:lang w:eastAsia="en-NZ"/>
        </w:rPr>
        <w:t xml:space="preserve">commits the University </w:t>
      </w:r>
      <w:r w:rsidR="002E125F" w:rsidRPr="00D910F0">
        <w:rPr>
          <w:rFonts w:eastAsia="Calibri" w:cstheme="minorHAnsi"/>
          <w:lang w:eastAsia="en-NZ"/>
        </w:rPr>
        <w:t xml:space="preserve">to working collaboratively with disabled students to realise their rights to </w:t>
      </w:r>
      <w:r w:rsidR="00811B0D" w:rsidRPr="00D910F0">
        <w:rPr>
          <w:rFonts w:eastAsia="Calibri" w:cstheme="minorHAnsi"/>
          <w:lang w:eastAsia="en-NZ"/>
        </w:rPr>
        <w:t>education</w:t>
      </w:r>
      <w:r w:rsidR="006E7D82" w:rsidRPr="00D910F0">
        <w:rPr>
          <w:rFonts w:eastAsia="Calibri" w:cstheme="minorHAnsi"/>
          <w:lang w:eastAsia="en-NZ"/>
        </w:rPr>
        <w:t xml:space="preserve"> at </w:t>
      </w:r>
      <w:proofErr w:type="spellStart"/>
      <w:r w:rsidR="006E7D82" w:rsidRPr="00D910F0">
        <w:rPr>
          <w:rFonts w:eastAsia="Calibri" w:cstheme="minorHAnsi"/>
          <w:lang w:eastAsia="en-NZ"/>
        </w:rPr>
        <w:t>Te</w:t>
      </w:r>
      <w:proofErr w:type="spellEnd"/>
      <w:r w:rsidR="006E7D82" w:rsidRPr="00D910F0">
        <w:rPr>
          <w:rFonts w:eastAsia="Calibri" w:cstheme="minorHAnsi"/>
          <w:lang w:eastAsia="en-NZ"/>
        </w:rPr>
        <w:t xml:space="preserve"> </w:t>
      </w:r>
      <w:proofErr w:type="spellStart"/>
      <w:r w:rsidR="006E7D82" w:rsidRPr="00D910F0">
        <w:rPr>
          <w:rFonts w:eastAsia="Calibri" w:cstheme="minorHAnsi"/>
          <w:lang w:eastAsia="en-NZ"/>
        </w:rPr>
        <w:t>Whare</w:t>
      </w:r>
      <w:proofErr w:type="spellEnd"/>
      <w:r w:rsidR="006E7D82" w:rsidRPr="00D910F0">
        <w:rPr>
          <w:rFonts w:eastAsia="Calibri" w:cstheme="minorHAnsi"/>
          <w:lang w:eastAsia="en-NZ"/>
        </w:rPr>
        <w:t xml:space="preserve"> </w:t>
      </w:r>
      <w:r w:rsidR="00E94A93">
        <w:rPr>
          <w:rFonts w:eastAsia="Calibri" w:cstheme="minorHAnsi"/>
          <w:lang w:eastAsia="en-NZ"/>
        </w:rPr>
        <w:t xml:space="preserve">Wānanga </w:t>
      </w:r>
      <w:r w:rsidR="006E7D82" w:rsidRPr="00F22E21">
        <w:rPr>
          <w:rFonts w:eastAsia="Calibri" w:cstheme="minorHAnsi"/>
          <w:lang w:eastAsia="en-NZ"/>
        </w:rPr>
        <w:t>o Waikato – The University of Waikato</w:t>
      </w:r>
      <w:r w:rsidR="00811B0D" w:rsidRPr="00F22E21">
        <w:rPr>
          <w:rFonts w:eastAsia="Calibri" w:cstheme="minorHAnsi"/>
          <w:lang w:eastAsia="en-NZ"/>
        </w:rPr>
        <w:t>,</w:t>
      </w:r>
      <w:r w:rsidR="002E125F" w:rsidRPr="00F22E21">
        <w:rPr>
          <w:rFonts w:eastAsia="Calibri" w:cstheme="minorHAnsi"/>
          <w:lang w:eastAsia="en-NZ"/>
        </w:rPr>
        <w:t xml:space="preserve"> to meet obligations </w:t>
      </w:r>
      <w:r w:rsidR="00811B0D" w:rsidRPr="00D910F0">
        <w:rPr>
          <w:rFonts w:eastAsia="Calibri" w:cstheme="minorHAnsi"/>
          <w:lang w:eastAsia="en-NZ"/>
        </w:rPr>
        <w:t>outlined</w:t>
      </w:r>
      <w:r w:rsidR="002E125F" w:rsidRPr="00D910F0">
        <w:rPr>
          <w:rFonts w:eastAsia="Calibri" w:cstheme="minorHAnsi"/>
          <w:lang w:eastAsia="en-NZ"/>
        </w:rPr>
        <w:t xml:space="preserve"> in international and domestic laws</w:t>
      </w:r>
      <w:r w:rsidR="00900B94" w:rsidRPr="00D910F0">
        <w:rPr>
          <w:rFonts w:eastAsia="Calibri" w:cstheme="minorHAnsi"/>
          <w:lang w:eastAsia="en-NZ"/>
        </w:rPr>
        <w:t>,</w:t>
      </w:r>
      <w:r w:rsidR="002E125F" w:rsidRPr="00D910F0">
        <w:rPr>
          <w:rFonts w:eastAsia="Calibri" w:cstheme="minorHAnsi"/>
          <w:lang w:eastAsia="en-NZ"/>
        </w:rPr>
        <w:t xml:space="preserve"> domestic policies</w:t>
      </w:r>
      <w:r w:rsidR="00900B94" w:rsidRPr="00D910F0">
        <w:rPr>
          <w:rFonts w:eastAsia="Calibri" w:cstheme="minorHAnsi"/>
          <w:lang w:eastAsia="en-NZ"/>
        </w:rPr>
        <w:t xml:space="preserve"> and </w:t>
      </w:r>
      <w:r w:rsidR="00C835D5" w:rsidRPr="00D910F0">
        <w:rPr>
          <w:rFonts w:eastAsia="Calibri" w:cstheme="minorHAnsi"/>
          <w:lang w:eastAsia="en-NZ"/>
        </w:rPr>
        <w:t xml:space="preserve">all </w:t>
      </w:r>
      <w:r w:rsidR="00900B94" w:rsidRPr="00D910F0">
        <w:rPr>
          <w:rFonts w:eastAsia="Calibri" w:cstheme="minorHAnsi"/>
          <w:lang w:eastAsia="en-NZ"/>
        </w:rPr>
        <w:t>University principles</w:t>
      </w:r>
      <w:r w:rsidR="00C835D5" w:rsidRPr="00D910F0">
        <w:rPr>
          <w:rFonts w:eastAsia="Calibri" w:cstheme="minorHAnsi"/>
          <w:lang w:eastAsia="en-NZ"/>
        </w:rPr>
        <w:t xml:space="preserve"> that speak to inclusion</w:t>
      </w:r>
      <w:r w:rsidR="002E125F" w:rsidRPr="00D910F0">
        <w:rPr>
          <w:rFonts w:eastAsia="Calibri" w:cstheme="minorHAnsi"/>
          <w:lang w:eastAsia="en-NZ"/>
        </w:rPr>
        <w:t xml:space="preserve">. </w:t>
      </w:r>
    </w:p>
    <w:p w14:paraId="57E7B276" w14:textId="2E9DB372" w:rsidR="007B6C71" w:rsidRPr="00665B84" w:rsidRDefault="007B6C71" w:rsidP="0012782C">
      <w:pPr>
        <w:spacing w:line="240" w:lineRule="auto"/>
        <w:rPr>
          <w:rFonts w:eastAsia="Calibri" w:cstheme="minorHAnsi"/>
          <w:lang w:eastAsia="en-NZ"/>
        </w:rPr>
      </w:pPr>
      <w:r>
        <w:rPr>
          <w:rFonts w:eastAsia="Calibri" w:cstheme="minorHAnsi"/>
          <w:lang w:eastAsia="en-NZ"/>
        </w:rPr>
        <w:t xml:space="preserve">This DAP takes account of the Kia </w:t>
      </w:r>
      <w:proofErr w:type="spellStart"/>
      <w:r w:rsidR="006554A0">
        <w:rPr>
          <w:rFonts w:eastAsia="Calibri" w:cstheme="minorHAnsi"/>
          <w:lang w:eastAsia="en-NZ"/>
        </w:rPr>
        <w:t>Ō</w:t>
      </w:r>
      <w:r>
        <w:rPr>
          <w:rFonts w:eastAsia="Calibri" w:cstheme="minorHAnsi"/>
          <w:lang w:eastAsia="en-NZ"/>
        </w:rPr>
        <w:t>rite</w:t>
      </w:r>
      <w:proofErr w:type="spellEnd"/>
      <w:r>
        <w:rPr>
          <w:rFonts w:eastAsia="Calibri" w:cstheme="minorHAnsi"/>
          <w:lang w:eastAsia="en-NZ"/>
        </w:rPr>
        <w:t xml:space="preserve"> toolkit and seeks to use the guidance from the management and learning support implementation components of that toolkit to inform the dismantling of disabling environments within the University of Waikato.</w:t>
      </w:r>
    </w:p>
    <w:p w14:paraId="7F87E5C4" w14:textId="60D7F9CB" w:rsidR="004D7069" w:rsidRPr="00D910F0" w:rsidRDefault="004D7069" w:rsidP="0012782C">
      <w:pPr>
        <w:spacing w:line="240" w:lineRule="auto"/>
        <w:rPr>
          <w:rFonts w:eastAsia="Calibri" w:cstheme="minorHAnsi"/>
          <w:lang w:eastAsia="en-NZ"/>
        </w:rPr>
      </w:pPr>
      <w:r w:rsidRPr="00D910F0">
        <w:rPr>
          <w:rFonts w:eastAsia="Calibri" w:cstheme="minorHAnsi"/>
          <w:lang w:val="en" w:eastAsia="en-NZ"/>
        </w:rPr>
        <w:t xml:space="preserve">The purpose of </w:t>
      </w:r>
      <w:r w:rsidR="00C835D5" w:rsidRPr="00D910F0">
        <w:rPr>
          <w:rFonts w:eastAsia="Calibri" w:cstheme="minorHAnsi"/>
          <w:lang w:val="en" w:eastAsia="en-NZ"/>
        </w:rPr>
        <w:t xml:space="preserve">the </w:t>
      </w:r>
      <w:r w:rsidRPr="00D910F0">
        <w:rPr>
          <w:rFonts w:eastAsia="Calibri" w:cstheme="minorHAnsi"/>
          <w:lang w:val="en" w:eastAsia="en-NZ"/>
        </w:rPr>
        <w:t xml:space="preserve">actions </w:t>
      </w:r>
      <w:r w:rsidR="00B4480D" w:rsidRPr="00D910F0">
        <w:rPr>
          <w:rFonts w:eastAsia="Calibri" w:cstheme="minorHAnsi"/>
          <w:lang w:val="en" w:eastAsia="en-NZ"/>
        </w:rPr>
        <w:t>outlined</w:t>
      </w:r>
      <w:r w:rsidR="00C835D5" w:rsidRPr="00D910F0">
        <w:rPr>
          <w:rFonts w:eastAsia="Calibri" w:cstheme="minorHAnsi"/>
          <w:lang w:val="en" w:eastAsia="en-NZ"/>
        </w:rPr>
        <w:t xml:space="preserve"> in </w:t>
      </w:r>
      <w:r w:rsidRPr="00D910F0">
        <w:rPr>
          <w:rFonts w:eastAsia="Calibri" w:cstheme="minorHAnsi"/>
          <w:lang w:val="en" w:eastAsia="en-NZ"/>
        </w:rPr>
        <w:t xml:space="preserve">this </w:t>
      </w:r>
      <w:r w:rsidR="009F2B55">
        <w:rPr>
          <w:rFonts w:eastAsia="Calibri" w:cstheme="minorHAnsi"/>
          <w:lang w:val="en" w:eastAsia="en-NZ"/>
        </w:rPr>
        <w:t>P</w:t>
      </w:r>
      <w:r w:rsidR="009F2B55" w:rsidRPr="00D910F0">
        <w:rPr>
          <w:rFonts w:eastAsia="Calibri" w:cstheme="minorHAnsi"/>
          <w:lang w:val="en" w:eastAsia="en-NZ"/>
        </w:rPr>
        <w:t xml:space="preserve">lan </w:t>
      </w:r>
      <w:r w:rsidRPr="00D910F0">
        <w:rPr>
          <w:rFonts w:eastAsia="Calibri" w:cstheme="minorHAnsi"/>
          <w:lang w:val="en" w:eastAsia="en-NZ"/>
        </w:rPr>
        <w:t xml:space="preserve">is to communicate the University of Waikato’s commitment to improving participation and achievement in tertiary education </w:t>
      </w:r>
      <w:r w:rsidR="00811B0D" w:rsidRPr="00D910F0">
        <w:rPr>
          <w:rFonts w:eastAsia="Calibri" w:cstheme="minorHAnsi"/>
          <w:lang w:val="en" w:eastAsia="en-NZ"/>
        </w:rPr>
        <w:t xml:space="preserve">for disabled students who as people with diverse identities and experiences are a key part of the diverse student group at </w:t>
      </w:r>
      <w:proofErr w:type="spellStart"/>
      <w:r w:rsidR="00811B0D" w:rsidRPr="00D910F0">
        <w:rPr>
          <w:rFonts w:eastAsia="Calibri" w:cstheme="minorHAnsi"/>
          <w:lang w:eastAsia="en-NZ"/>
        </w:rPr>
        <w:t>Te</w:t>
      </w:r>
      <w:proofErr w:type="spellEnd"/>
      <w:r w:rsidR="00811B0D" w:rsidRPr="00D910F0">
        <w:rPr>
          <w:rFonts w:eastAsia="Calibri" w:cstheme="minorHAnsi"/>
          <w:lang w:eastAsia="en-NZ"/>
        </w:rPr>
        <w:t xml:space="preserve"> </w:t>
      </w:r>
      <w:proofErr w:type="spellStart"/>
      <w:r w:rsidR="00811B0D" w:rsidRPr="00D910F0">
        <w:rPr>
          <w:rFonts w:eastAsia="Calibri" w:cstheme="minorHAnsi"/>
          <w:lang w:eastAsia="en-NZ"/>
        </w:rPr>
        <w:t>Whare</w:t>
      </w:r>
      <w:proofErr w:type="spellEnd"/>
      <w:r w:rsidR="00811B0D" w:rsidRPr="00D910F0">
        <w:rPr>
          <w:rFonts w:eastAsia="Calibri" w:cstheme="minorHAnsi"/>
          <w:lang w:eastAsia="en-NZ"/>
        </w:rPr>
        <w:t xml:space="preserve"> </w:t>
      </w:r>
      <w:r w:rsidR="00E94A93">
        <w:rPr>
          <w:rFonts w:eastAsia="Calibri" w:cstheme="minorHAnsi"/>
          <w:lang w:eastAsia="en-NZ"/>
        </w:rPr>
        <w:t xml:space="preserve">Wānanga </w:t>
      </w:r>
      <w:r w:rsidR="00811B0D" w:rsidRPr="00F22E21">
        <w:rPr>
          <w:rFonts w:eastAsia="Calibri" w:cstheme="minorHAnsi"/>
          <w:lang w:eastAsia="en-NZ"/>
        </w:rPr>
        <w:t xml:space="preserve">o Waikato. </w:t>
      </w:r>
      <w:r w:rsidRPr="00F22E21">
        <w:rPr>
          <w:rFonts w:eastAsia="Calibri" w:cstheme="minorHAnsi"/>
          <w:lang w:val="en" w:eastAsia="en-NZ"/>
        </w:rPr>
        <w:t>This journey will include the wider staff and student body through the promoti</w:t>
      </w:r>
      <w:r w:rsidRPr="00D910F0">
        <w:rPr>
          <w:rFonts w:eastAsia="Calibri" w:cstheme="minorHAnsi"/>
          <w:lang w:val="en" w:eastAsia="en-NZ"/>
        </w:rPr>
        <w:t xml:space="preserve">on of universal design principles and the promotion of equity and inclusion across the life of the University. </w:t>
      </w:r>
    </w:p>
    <w:p w14:paraId="45CA7E82" w14:textId="5F586E72" w:rsidR="007B08B5" w:rsidRPr="00F658E7" w:rsidRDefault="00EE345D" w:rsidP="0012782C">
      <w:pPr>
        <w:pStyle w:val="Heading2"/>
        <w:numPr>
          <w:ilvl w:val="1"/>
          <w:numId w:val="18"/>
        </w:numPr>
        <w:spacing w:line="240" w:lineRule="auto"/>
        <w:rPr>
          <w:color w:val="auto"/>
          <w:shd w:val="clear" w:color="auto" w:fill="FFFFFF"/>
        </w:rPr>
      </w:pPr>
      <w:bookmarkStart w:id="2" w:name="_Toc120609550"/>
      <w:r w:rsidRPr="00F658E7">
        <w:rPr>
          <w:color w:val="auto"/>
          <w:shd w:val="clear" w:color="auto" w:fill="FFFFFF"/>
        </w:rPr>
        <w:t xml:space="preserve">A snapshot of </w:t>
      </w:r>
      <w:r w:rsidR="007B08B5" w:rsidRPr="00F658E7">
        <w:rPr>
          <w:color w:val="auto"/>
          <w:shd w:val="clear" w:color="auto" w:fill="FFFFFF"/>
        </w:rPr>
        <w:t xml:space="preserve">disabled </w:t>
      </w:r>
      <w:r w:rsidR="00F12DC3">
        <w:rPr>
          <w:color w:val="auto"/>
          <w:shd w:val="clear" w:color="auto" w:fill="FFFFFF"/>
        </w:rPr>
        <w:t>learners</w:t>
      </w:r>
      <w:r w:rsidR="007B08B5" w:rsidRPr="00F658E7">
        <w:rPr>
          <w:color w:val="auto"/>
          <w:shd w:val="clear" w:color="auto" w:fill="FFFFFF"/>
        </w:rPr>
        <w:t xml:space="preserve"> at Waikato</w:t>
      </w:r>
      <w:bookmarkEnd w:id="2"/>
    </w:p>
    <w:p w14:paraId="466348B9" w14:textId="484186EB" w:rsidR="00EE345D" w:rsidRPr="00F658E7" w:rsidRDefault="007B08B5" w:rsidP="0012782C">
      <w:pPr>
        <w:pStyle w:val="Heading3"/>
        <w:spacing w:line="240" w:lineRule="auto"/>
        <w:rPr>
          <w:color w:val="auto"/>
          <w:shd w:val="clear" w:color="auto" w:fill="FFFFFF"/>
        </w:rPr>
      </w:pPr>
      <w:bookmarkStart w:id="3" w:name="_Toc120609551"/>
      <w:r w:rsidRPr="00F658E7">
        <w:rPr>
          <w:rStyle w:val="Heading3Char"/>
          <w:color w:val="auto"/>
        </w:rPr>
        <w:t>1.1.1 Enrolments</w:t>
      </w:r>
      <w:bookmarkEnd w:id="3"/>
    </w:p>
    <w:p w14:paraId="7218AF72" w14:textId="41A49287" w:rsidR="00DA7156" w:rsidRPr="00F658E7" w:rsidRDefault="00DA7156" w:rsidP="0012782C">
      <w:pPr>
        <w:spacing w:after="0" w:line="240" w:lineRule="auto"/>
        <w:rPr>
          <w:rFonts w:ascii="Calibri" w:hAnsi="Calibri" w:cs="Calibri"/>
          <w:shd w:val="clear" w:color="auto" w:fill="FFFFFF"/>
        </w:rPr>
      </w:pPr>
      <w:r w:rsidRPr="00F658E7">
        <w:rPr>
          <w:rFonts w:ascii="Calibri" w:hAnsi="Calibri" w:cs="Calibri"/>
          <w:shd w:val="clear" w:color="auto" w:fill="FFFFFF"/>
        </w:rPr>
        <w:t xml:space="preserve">Over the past five </w:t>
      </w:r>
      <w:r w:rsidR="00665B84" w:rsidRPr="00665B84">
        <w:rPr>
          <w:rFonts w:ascii="Calibri" w:hAnsi="Calibri" w:cs="Calibri"/>
          <w:shd w:val="clear" w:color="auto" w:fill="FFFFFF"/>
        </w:rPr>
        <w:t>years,</w:t>
      </w:r>
      <w:r w:rsidRPr="00F658E7">
        <w:rPr>
          <w:rFonts w:ascii="Calibri" w:hAnsi="Calibri" w:cs="Calibri"/>
          <w:shd w:val="clear" w:color="auto" w:fill="FFFFFF"/>
        </w:rPr>
        <w:t xml:space="preserve"> approximately 7% of </w:t>
      </w:r>
      <w:r w:rsidR="004E5D9F" w:rsidRPr="00F658E7">
        <w:rPr>
          <w:rFonts w:ascii="Calibri" w:hAnsi="Calibri" w:cs="Calibri"/>
          <w:shd w:val="clear" w:color="auto" w:fill="FFFFFF"/>
        </w:rPr>
        <w:t xml:space="preserve">NZ-based </w:t>
      </w:r>
      <w:r w:rsidRPr="00F658E7">
        <w:rPr>
          <w:rFonts w:ascii="Calibri" w:hAnsi="Calibri" w:cs="Calibri"/>
          <w:shd w:val="clear" w:color="auto" w:fill="FFFFFF"/>
        </w:rPr>
        <w:t xml:space="preserve">students </w:t>
      </w:r>
      <w:r w:rsidR="004E5D9F" w:rsidRPr="00F658E7">
        <w:rPr>
          <w:rFonts w:ascii="Calibri" w:hAnsi="Calibri" w:cs="Calibri"/>
          <w:shd w:val="clear" w:color="auto" w:fill="FFFFFF"/>
        </w:rPr>
        <w:t xml:space="preserve">enrolling </w:t>
      </w:r>
      <w:r w:rsidRPr="00F658E7">
        <w:rPr>
          <w:rFonts w:ascii="Calibri" w:hAnsi="Calibri" w:cs="Calibri"/>
          <w:shd w:val="clear" w:color="auto" w:fill="FFFFFF"/>
        </w:rPr>
        <w:t xml:space="preserve">at the University of Waikato </w:t>
      </w:r>
      <w:r w:rsidR="00C75030" w:rsidRPr="00F658E7">
        <w:rPr>
          <w:rFonts w:ascii="Calibri" w:hAnsi="Calibri" w:cs="Calibri"/>
          <w:shd w:val="clear" w:color="auto" w:fill="FFFFFF"/>
        </w:rPr>
        <w:t xml:space="preserve">have </w:t>
      </w:r>
      <w:r w:rsidRPr="00F658E7">
        <w:rPr>
          <w:rFonts w:ascii="Calibri" w:hAnsi="Calibri" w:cs="Calibri"/>
          <w:shd w:val="clear" w:color="auto" w:fill="FFFFFF"/>
        </w:rPr>
        <w:t>note</w:t>
      </w:r>
      <w:r w:rsidR="00C75030" w:rsidRPr="00F658E7">
        <w:rPr>
          <w:rFonts w:ascii="Calibri" w:hAnsi="Calibri" w:cs="Calibri"/>
          <w:shd w:val="clear" w:color="auto" w:fill="FFFFFF"/>
        </w:rPr>
        <w:t>d</w:t>
      </w:r>
      <w:r w:rsidRPr="00F658E7">
        <w:rPr>
          <w:rFonts w:ascii="Calibri" w:hAnsi="Calibri" w:cs="Calibri"/>
          <w:shd w:val="clear" w:color="auto" w:fill="FFFFFF"/>
        </w:rPr>
        <w:t xml:space="preserve"> on their application to enrol that they have a disability.</w:t>
      </w:r>
    </w:p>
    <w:p w14:paraId="0E27C95C" w14:textId="77777777" w:rsidR="0012782C" w:rsidRDefault="0012782C" w:rsidP="0012782C">
      <w:pPr>
        <w:spacing w:after="0" w:line="240" w:lineRule="auto"/>
        <w:rPr>
          <w:rFonts w:ascii="Calibri" w:eastAsia="Times New Roman" w:hAnsi="Calibri" w:cs="Calibri"/>
          <w:b/>
          <w:bCs/>
        </w:rPr>
      </w:pPr>
      <w:bookmarkStart w:id="4" w:name="_Hlk116293882"/>
    </w:p>
    <w:p w14:paraId="349A31A9" w14:textId="6565D1A0" w:rsidR="003D6E5E" w:rsidRPr="00F658E7" w:rsidRDefault="0083199B" w:rsidP="0012782C">
      <w:pPr>
        <w:spacing w:after="0" w:line="240" w:lineRule="auto"/>
        <w:rPr>
          <w:rFonts w:ascii="Calibri" w:eastAsia="Times New Roman" w:hAnsi="Calibri" w:cs="Calibri"/>
          <w:b/>
          <w:bCs/>
        </w:rPr>
      </w:pPr>
      <w:r w:rsidRPr="00F658E7">
        <w:rPr>
          <w:rFonts w:ascii="Calibri" w:eastAsia="Times New Roman" w:hAnsi="Calibri" w:cs="Calibri"/>
          <w:b/>
          <w:bCs/>
        </w:rPr>
        <w:t>TABLE 1</w:t>
      </w:r>
      <w:r w:rsidR="00665B84">
        <w:rPr>
          <w:rFonts w:ascii="Calibri" w:eastAsia="Times New Roman" w:hAnsi="Calibri" w:cs="Calibri"/>
          <w:b/>
          <w:bCs/>
        </w:rPr>
        <w:t>:</w:t>
      </w:r>
      <w:r w:rsidRPr="00F658E7">
        <w:rPr>
          <w:rFonts w:ascii="Calibri" w:eastAsia="Times New Roman" w:hAnsi="Calibri" w:cs="Calibri"/>
          <w:b/>
          <w:bCs/>
        </w:rPr>
        <w:t xml:space="preserve"> All students with a disability (</w:t>
      </w:r>
      <w:r w:rsidR="004E5D9F" w:rsidRPr="00F658E7">
        <w:rPr>
          <w:rFonts w:ascii="Calibri" w:eastAsia="Times New Roman" w:hAnsi="Calibri" w:cs="Calibri"/>
          <w:b/>
          <w:bCs/>
        </w:rPr>
        <w:t xml:space="preserve">excludes </w:t>
      </w:r>
      <w:r w:rsidR="00013FDC" w:rsidRPr="00F658E7">
        <w:rPr>
          <w:rFonts w:ascii="Calibri" w:eastAsia="Times New Roman" w:hAnsi="Calibri" w:cs="Calibri"/>
          <w:b/>
          <w:bCs/>
        </w:rPr>
        <w:t xml:space="preserve">students enrolled at the University’s </w:t>
      </w:r>
      <w:r w:rsidRPr="00F658E7">
        <w:rPr>
          <w:rFonts w:ascii="Calibri" w:eastAsia="Times New Roman" w:hAnsi="Calibri" w:cs="Calibri"/>
          <w:b/>
          <w:bCs/>
        </w:rPr>
        <w:t>off-shore</w:t>
      </w:r>
      <w:r w:rsidR="004E5D9F" w:rsidRPr="00F658E7">
        <w:rPr>
          <w:rFonts w:ascii="Calibri" w:eastAsia="Times New Roman" w:hAnsi="Calibri" w:cs="Calibri"/>
          <w:b/>
          <w:bCs/>
        </w:rPr>
        <w:t xml:space="preserve"> </w:t>
      </w:r>
      <w:r w:rsidR="00013FDC" w:rsidRPr="00F658E7">
        <w:rPr>
          <w:rFonts w:ascii="Calibri" w:eastAsia="Times New Roman" w:hAnsi="Calibri" w:cs="Calibri"/>
          <w:b/>
          <w:bCs/>
        </w:rPr>
        <w:t>campuses</w:t>
      </w:r>
      <w:r w:rsidRPr="00F658E7">
        <w:rPr>
          <w:rFonts w:ascii="Calibri" w:eastAsia="Times New Roman" w:hAnsi="Calibri" w:cs="Calibri"/>
          <w:b/>
          <w:bCs/>
        </w:rPr>
        <w:t>)</w:t>
      </w:r>
      <w:r w:rsidR="003D6E5E" w:rsidRPr="00F658E7">
        <w:rPr>
          <w:rFonts w:ascii="Calibri" w:eastAsia="Times New Roman" w:hAnsi="Calibri" w:cs="Calibri"/>
          <w:b/>
          <w:bCs/>
        </w:rPr>
        <w:t xml:space="preserve"> </w:t>
      </w:r>
    </w:p>
    <w:p w14:paraId="7219394F" w14:textId="671AAFDC" w:rsidR="0083199B" w:rsidRPr="00F658E7" w:rsidRDefault="003D6E5E" w:rsidP="0012782C">
      <w:pPr>
        <w:spacing w:after="0" w:line="240" w:lineRule="auto"/>
        <w:rPr>
          <w:rFonts w:ascii="Calibri" w:eastAsia="Times New Roman" w:hAnsi="Calibri" w:cs="Calibri"/>
        </w:rPr>
      </w:pPr>
      <w:r w:rsidRPr="00F658E7">
        <w:rPr>
          <w:rFonts w:ascii="Calibri" w:eastAsia="Times New Roman" w:hAnsi="Calibri" w:cs="Calibri"/>
        </w:rPr>
        <w:t>(* in all tables 2022 i</w:t>
      </w:r>
      <w:r w:rsidR="00C835D5" w:rsidRPr="00F658E7">
        <w:rPr>
          <w:rFonts w:ascii="Calibri" w:eastAsia="Times New Roman" w:hAnsi="Calibri" w:cs="Calibri"/>
        </w:rPr>
        <w:t>s</w:t>
      </w:r>
      <w:r w:rsidRPr="00F658E7">
        <w:rPr>
          <w:rFonts w:ascii="Calibri" w:eastAsia="Times New Roman" w:hAnsi="Calibri" w:cs="Calibri"/>
        </w:rPr>
        <w:t xml:space="preserve"> an incomplete year, so only the first half year</w:t>
      </w:r>
      <w:r w:rsidR="00382528" w:rsidRPr="00F658E7">
        <w:rPr>
          <w:rFonts w:ascii="Calibri" w:eastAsia="Times New Roman" w:hAnsi="Calibri" w:cs="Calibri"/>
        </w:rPr>
        <w:t>’</w:t>
      </w:r>
      <w:r w:rsidRPr="00F658E7">
        <w:rPr>
          <w:rFonts w:ascii="Calibri" w:eastAsia="Times New Roman" w:hAnsi="Calibri" w:cs="Calibri"/>
        </w:rPr>
        <w:t>s papers are included)</w:t>
      </w:r>
    </w:p>
    <w:bookmarkEnd w:id="4"/>
    <w:p w14:paraId="4BA27B6A" w14:textId="77777777" w:rsidR="00DA7156" w:rsidRPr="00F658E7" w:rsidRDefault="00DA7156" w:rsidP="0012782C">
      <w:pPr>
        <w:spacing w:after="0" w:line="240" w:lineRule="auto"/>
        <w:rPr>
          <w:rFonts w:ascii="Calibri" w:eastAsia="Times New Roman" w:hAnsi="Calibri" w:cs="Calibri"/>
          <w:b/>
          <w:bCs/>
        </w:rPr>
      </w:pPr>
    </w:p>
    <w:tbl>
      <w:tblPr>
        <w:tblW w:w="6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820"/>
        <w:gridCol w:w="820"/>
        <w:gridCol w:w="820"/>
        <w:gridCol w:w="820"/>
        <w:gridCol w:w="820"/>
        <w:gridCol w:w="820"/>
      </w:tblGrid>
      <w:tr w:rsidR="008D1FAC" w:rsidRPr="00D910F0" w14:paraId="1C5AEE2A" w14:textId="77777777" w:rsidTr="00CB45DC">
        <w:trPr>
          <w:trHeight w:val="300"/>
        </w:trPr>
        <w:tc>
          <w:tcPr>
            <w:tcW w:w="1720" w:type="dxa"/>
            <w:shd w:val="clear" w:color="D9E1F2" w:fill="D9E1F2"/>
            <w:noWrap/>
            <w:vAlign w:val="bottom"/>
            <w:hideMark/>
          </w:tcPr>
          <w:p w14:paraId="487186AB" w14:textId="77777777" w:rsidR="008D1FAC" w:rsidRPr="00F658E7" w:rsidRDefault="008D1FAC" w:rsidP="0012782C">
            <w:pPr>
              <w:spacing w:after="0" w:line="240" w:lineRule="auto"/>
              <w:rPr>
                <w:rFonts w:ascii="Calibri" w:eastAsia="Times New Roman" w:hAnsi="Calibri" w:cs="Calibri"/>
                <w:b/>
                <w:bCs/>
              </w:rPr>
            </w:pPr>
            <w:r w:rsidRPr="00F658E7">
              <w:rPr>
                <w:rFonts w:ascii="Calibri" w:eastAsia="Times New Roman" w:hAnsi="Calibri" w:cs="Calibri"/>
                <w:b/>
                <w:bCs/>
              </w:rPr>
              <w:t>Has a Disability</w:t>
            </w:r>
          </w:p>
        </w:tc>
        <w:tc>
          <w:tcPr>
            <w:tcW w:w="820" w:type="dxa"/>
            <w:shd w:val="clear" w:color="D9E1F2" w:fill="D9E1F2"/>
            <w:noWrap/>
            <w:vAlign w:val="bottom"/>
            <w:hideMark/>
          </w:tcPr>
          <w:p w14:paraId="464836F2" w14:textId="77777777" w:rsidR="008D1FAC" w:rsidRPr="00F658E7" w:rsidRDefault="008D1FAC" w:rsidP="0012782C">
            <w:pPr>
              <w:spacing w:after="0" w:line="240" w:lineRule="auto"/>
              <w:rPr>
                <w:rFonts w:ascii="Calibri" w:eastAsia="Times New Roman" w:hAnsi="Calibri" w:cs="Calibri"/>
                <w:b/>
                <w:bCs/>
              </w:rPr>
            </w:pPr>
          </w:p>
        </w:tc>
        <w:tc>
          <w:tcPr>
            <w:tcW w:w="820" w:type="dxa"/>
            <w:shd w:val="clear" w:color="D9E1F2" w:fill="D9E1F2"/>
            <w:noWrap/>
            <w:vAlign w:val="bottom"/>
            <w:hideMark/>
          </w:tcPr>
          <w:p w14:paraId="5B70C02C" w14:textId="77777777" w:rsidR="008D1FAC" w:rsidRPr="00665B84" w:rsidRDefault="008D1FAC" w:rsidP="0012782C">
            <w:pPr>
              <w:spacing w:after="0" w:line="240" w:lineRule="auto"/>
              <w:rPr>
                <w:rFonts w:ascii="Times New Roman" w:eastAsia="Times New Roman" w:hAnsi="Times New Roman" w:cs="Times New Roman"/>
                <w:sz w:val="20"/>
                <w:szCs w:val="20"/>
              </w:rPr>
            </w:pPr>
          </w:p>
        </w:tc>
        <w:tc>
          <w:tcPr>
            <w:tcW w:w="820" w:type="dxa"/>
            <w:shd w:val="clear" w:color="D9E1F2" w:fill="D9E1F2"/>
            <w:noWrap/>
            <w:vAlign w:val="bottom"/>
            <w:hideMark/>
          </w:tcPr>
          <w:p w14:paraId="0F894528" w14:textId="77777777" w:rsidR="008D1FAC" w:rsidRPr="00D910F0" w:rsidRDefault="008D1FAC" w:rsidP="0012782C">
            <w:pPr>
              <w:spacing w:after="0" w:line="240" w:lineRule="auto"/>
              <w:jc w:val="right"/>
              <w:rPr>
                <w:rFonts w:ascii="Times New Roman" w:eastAsia="Times New Roman" w:hAnsi="Times New Roman" w:cs="Times New Roman"/>
                <w:sz w:val="20"/>
                <w:szCs w:val="20"/>
              </w:rPr>
            </w:pPr>
          </w:p>
        </w:tc>
        <w:tc>
          <w:tcPr>
            <w:tcW w:w="820" w:type="dxa"/>
            <w:shd w:val="clear" w:color="D9E1F2" w:fill="D9E1F2"/>
            <w:noWrap/>
            <w:vAlign w:val="bottom"/>
            <w:hideMark/>
          </w:tcPr>
          <w:p w14:paraId="202EDBF6" w14:textId="77777777" w:rsidR="008D1FAC" w:rsidRPr="00D910F0" w:rsidRDefault="008D1FAC" w:rsidP="0012782C">
            <w:pPr>
              <w:spacing w:after="0" w:line="240" w:lineRule="auto"/>
              <w:jc w:val="right"/>
              <w:rPr>
                <w:rFonts w:ascii="Times New Roman" w:eastAsia="Times New Roman" w:hAnsi="Times New Roman" w:cs="Times New Roman"/>
                <w:sz w:val="20"/>
                <w:szCs w:val="20"/>
              </w:rPr>
            </w:pPr>
          </w:p>
        </w:tc>
        <w:tc>
          <w:tcPr>
            <w:tcW w:w="820" w:type="dxa"/>
            <w:shd w:val="clear" w:color="D9E1F2" w:fill="D9E1F2"/>
            <w:noWrap/>
            <w:vAlign w:val="bottom"/>
            <w:hideMark/>
          </w:tcPr>
          <w:p w14:paraId="40B92A55" w14:textId="77777777" w:rsidR="008D1FAC" w:rsidRPr="00D910F0" w:rsidRDefault="008D1FAC" w:rsidP="0012782C">
            <w:pPr>
              <w:spacing w:after="0" w:line="240" w:lineRule="auto"/>
              <w:jc w:val="right"/>
              <w:rPr>
                <w:rFonts w:ascii="Times New Roman" w:eastAsia="Times New Roman" w:hAnsi="Times New Roman" w:cs="Times New Roman"/>
                <w:sz w:val="20"/>
                <w:szCs w:val="20"/>
              </w:rPr>
            </w:pPr>
          </w:p>
        </w:tc>
        <w:tc>
          <w:tcPr>
            <w:tcW w:w="820" w:type="dxa"/>
            <w:shd w:val="clear" w:color="D9E1F2" w:fill="D9E1F2"/>
            <w:noWrap/>
            <w:vAlign w:val="bottom"/>
            <w:hideMark/>
          </w:tcPr>
          <w:p w14:paraId="1A99E10A" w14:textId="77777777" w:rsidR="008D1FAC" w:rsidRPr="00D910F0" w:rsidRDefault="008D1FAC" w:rsidP="0012782C">
            <w:pPr>
              <w:spacing w:after="0" w:line="240" w:lineRule="auto"/>
              <w:jc w:val="right"/>
              <w:rPr>
                <w:rFonts w:ascii="Times New Roman" w:eastAsia="Times New Roman" w:hAnsi="Times New Roman" w:cs="Times New Roman"/>
                <w:sz w:val="20"/>
                <w:szCs w:val="20"/>
              </w:rPr>
            </w:pPr>
          </w:p>
        </w:tc>
      </w:tr>
      <w:tr w:rsidR="008D1FAC" w:rsidRPr="00D910F0" w14:paraId="62200F4A" w14:textId="77777777" w:rsidTr="00CB45DC">
        <w:trPr>
          <w:trHeight w:val="300"/>
        </w:trPr>
        <w:tc>
          <w:tcPr>
            <w:tcW w:w="1720" w:type="dxa"/>
            <w:shd w:val="clear" w:color="D9E1F2" w:fill="D9E1F2"/>
            <w:noWrap/>
            <w:vAlign w:val="bottom"/>
            <w:hideMark/>
          </w:tcPr>
          <w:p w14:paraId="676F7734" w14:textId="77777777" w:rsidR="008D1FAC" w:rsidRPr="00D910F0" w:rsidRDefault="008D1FAC" w:rsidP="0012782C">
            <w:pPr>
              <w:spacing w:after="0" w:line="240" w:lineRule="auto"/>
              <w:jc w:val="right"/>
              <w:rPr>
                <w:rFonts w:ascii="Times New Roman" w:eastAsia="Times New Roman" w:hAnsi="Times New Roman" w:cs="Times New Roman"/>
                <w:sz w:val="20"/>
                <w:szCs w:val="20"/>
              </w:rPr>
            </w:pPr>
          </w:p>
        </w:tc>
        <w:tc>
          <w:tcPr>
            <w:tcW w:w="820" w:type="dxa"/>
            <w:shd w:val="clear" w:color="D9E1F2" w:fill="D9E1F2"/>
            <w:noWrap/>
            <w:vAlign w:val="bottom"/>
            <w:hideMark/>
          </w:tcPr>
          <w:p w14:paraId="3A3CFDB4" w14:textId="77777777" w:rsidR="008D1FAC" w:rsidRPr="00F658E7" w:rsidRDefault="008D1FAC" w:rsidP="0012782C">
            <w:pPr>
              <w:spacing w:after="0" w:line="240" w:lineRule="auto"/>
              <w:rPr>
                <w:rFonts w:ascii="Calibri" w:eastAsia="Times New Roman" w:hAnsi="Calibri" w:cs="Calibri"/>
                <w:b/>
                <w:bCs/>
              </w:rPr>
            </w:pPr>
            <w:r w:rsidRPr="00F658E7">
              <w:rPr>
                <w:rFonts w:ascii="Calibri" w:eastAsia="Times New Roman" w:hAnsi="Calibri" w:cs="Calibri"/>
                <w:b/>
                <w:bCs/>
              </w:rPr>
              <w:t>2017</w:t>
            </w:r>
          </w:p>
        </w:tc>
        <w:tc>
          <w:tcPr>
            <w:tcW w:w="820" w:type="dxa"/>
            <w:shd w:val="clear" w:color="D9E1F2" w:fill="D9E1F2"/>
            <w:noWrap/>
            <w:vAlign w:val="bottom"/>
            <w:hideMark/>
          </w:tcPr>
          <w:p w14:paraId="50DDA6E0" w14:textId="77777777" w:rsidR="008D1FAC" w:rsidRPr="00F658E7" w:rsidRDefault="008D1FAC" w:rsidP="0012782C">
            <w:pPr>
              <w:spacing w:after="0" w:line="240" w:lineRule="auto"/>
              <w:rPr>
                <w:rFonts w:ascii="Calibri" w:eastAsia="Times New Roman" w:hAnsi="Calibri" w:cs="Calibri"/>
                <w:b/>
                <w:bCs/>
              </w:rPr>
            </w:pPr>
            <w:r w:rsidRPr="00F658E7">
              <w:rPr>
                <w:rFonts w:ascii="Calibri" w:eastAsia="Times New Roman" w:hAnsi="Calibri" w:cs="Calibri"/>
                <w:b/>
                <w:bCs/>
              </w:rPr>
              <w:t>2018</w:t>
            </w:r>
          </w:p>
        </w:tc>
        <w:tc>
          <w:tcPr>
            <w:tcW w:w="820" w:type="dxa"/>
            <w:shd w:val="clear" w:color="D9E1F2" w:fill="D9E1F2"/>
            <w:noWrap/>
            <w:vAlign w:val="bottom"/>
            <w:hideMark/>
          </w:tcPr>
          <w:p w14:paraId="6257B9F6" w14:textId="77777777" w:rsidR="008D1FAC" w:rsidRPr="00F658E7" w:rsidRDefault="008D1FAC" w:rsidP="0012782C">
            <w:pPr>
              <w:spacing w:after="0" w:line="240" w:lineRule="auto"/>
              <w:rPr>
                <w:rFonts w:ascii="Calibri" w:eastAsia="Times New Roman" w:hAnsi="Calibri" w:cs="Calibri"/>
                <w:b/>
                <w:bCs/>
              </w:rPr>
            </w:pPr>
            <w:r w:rsidRPr="00F658E7">
              <w:rPr>
                <w:rFonts w:ascii="Calibri" w:eastAsia="Times New Roman" w:hAnsi="Calibri" w:cs="Calibri"/>
                <w:b/>
                <w:bCs/>
              </w:rPr>
              <w:t>2019</w:t>
            </w:r>
          </w:p>
        </w:tc>
        <w:tc>
          <w:tcPr>
            <w:tcW w:w="820" w:type="dxa"/>
            <w:shd w:val="clear" w:color="D9E1F2" w:fill="D9E1F2"/>
            <w:noWrap/>
            <w:vAlign w:val="bottom"/>
            <w:hideMark/>
          </w:tcPr>
          <w:p w14:paraId="5A86035C" w14:textId="77777777" w:rsidR="008D1FAC" w:rsidRPr="00F658E7" w:rsidRDefault="008D1FAC" w:rsidP="0012782C">
            <w:pPr>
              <w:spacing w:after="0" w:line="240" w:lineRule="auto"/>
              <w:rPr>
                <w:rFonts w:ascii="Calibri" w:eastAsia="Times New Roman" w:hAnsi="Calibri" w:cs="Calibri"/>
                <w:b/>
                <w:bCs/>
              </w:rPr>
            </w:pPr>
            <w:r w:rsidRPr="00F658E7">
              <w:rPr>
                <w:rFonts w:ascii="Calibri" w:eastAsia="Times New Roman" w:hAnsi="Calibri" w:cs="Calibri"/>
                <w:b/>
                <w:bCs/>
              </w:rPr>
              <w:t>2020</w:t>
            </w:r>
          </w:p>
        </w:tc>
        <w:tc>
          <w:tcPr>
            <w:tcW w:w="820" w:type="dxa"/>
            <w:shd w:val="clear" w:color="D9E1F2" w:fill="D9E1F2"/>
            <w:noWrap/>
            <w:vAlign w:val="bottom"/>
            <w:hideMark/>
          </w:tcPr>
          <w:p w14:paraId="623BB6F6" w14:textId="77777777" w:rsidR="008D1FAC" w:rsidRPr="00F658E7" w:rsidRDefault="008D1FAC" w:rsidP="0012782C">
            <w:pPr>
              <w:spacing w:after="0" w:line="240" w:lineRule="auto"/>
              <w:rPr>
                <w:rFonts w:ascii="Calibri" w:eastAsia="Times New Roman" w:hAnsi="Calibri" w:cs="Calibri"/>
                <w:b/>
                <w:bCs/>
              </w:rPr>
            </w:pPr>
            <w:r w:rsidRPr="00F658E7">
              <w:rPr>
                <w:rFonts w:ascii="Calibri" w:eastAsia="Times New Roman" w:hAnsi="Calibri" w:cs="Calibri"/>
                <w:b/>
                <w:bCs/>
              </w:rPr>
              <w:t>2021</w:t>
            </w:r>
          </w:p>
        </w:tc>
        <w:tc>
          <w:tcPr>
            <w:tcW w:w="820" w:type="dxa"/>
            <w:shd w:val="clear" w:color="D9E1F2" w:fill="D9E1F2"/>
            <w:noWrap/>
            <w:vAlign w:val="bottom"/>
            <w:hideMark/>
          </w:tcPr>
          <w:p w14:paraId="27E6F3B4" w14:textId="0B8D6D78" w:rsidR="008D1FAC" w:rsidRPr="00F658E7" w:rsidRDefault="008D1FAC" w:rsidP="0012782C">
            <w:pPr>
              <w:spacing w:after="0" w:line="240" w:lineRule="auto"/>
              <w:rPr>
                <w:rFonts w:ascii="Calibri" w:eastAsia="Times New Roman" w:hAnsi="Calibri" w:cs="Calibri"/>
                <w:b/>
                <w:bCs/>
              </w:rPr>
            </w:pPr>
            <w:r w:rsidRPr="00F658E7">
              <w:rPr>
                <w:rFonts w:ascii="Calibri" w:eastAsia="Times New Roman" w:hAnsi="Calibri" w:cs="Calibri"/>
                <w:b/>
                <w:bCs/>
              </w:rPr>
              <w:t>2022</w:t>
            </w:r>
            <w:r w:rsidR="003D6E5E" w:rsidRPr="00F658E7">
              <w:rPr>
                <w:rFonts w:ascii="Calibri" w:eastAsia="Times New Roman" w:hAnsi="Calibri" w:cs="Calibri"/>
                <w:b/>
                <w:bCs/>
              </w:rPr>
              <w:t>*</w:t>
            </w:r>
          </w:p>
        </w:tc>
      </w:tr>
      <w:tr w:rsidR="008D1FAC" w:rsidRPr="00D910F0" w14:paraId="0BC74355" w14:textId="77777777" w:rsidTr="00CB45DC">
        <w:trPr>
          <w:trHeight w:val="300"/>
        </w:trPr>
        <w:tc>
          <w:tcPr>
            <w:tcW w:w="1720" w:type="dxa"/>
            <w:shd w:val="clear" w:color="auto" w:fill="auto"/>
            <w:noWrap/>
            <w:vAlign w:val="bottom"/>
            <w:hideMark/>
          </w:tcPr>
          <w:p w14:paraId="02F76DFE" w14:textId="77777777" w:rsidR="008D1FAC" w:rsidRPr="00F658E7" w:rsidRDefault="008D1FAC" w:rsidP="0012782C">
            <w:pPr>
              <w:spacing w:after="0" w:line="240" w:lineRule="auto"/>
              <w:rPr>
                <w:rFonts w:ascii="Calibri" w:eastAsia="Times New Roman" w:hAnsi="Calibri" w:cs="Calibri"/>
              </w:rPr>
            </w:pPr>
            <w:r w:rsidRPr="00F658E7">
              <w:rPr>
                <w:rFonts w:ascii="Calibri" w:eastAsia="Times New Roman" w:hAnsi="Calibri" w:cs="Calibri"/>
              </w:rPr>
              <w:t>Yes</w:t>
            </w:r>
          </w:p>
        </w:tc>
        <w:tc>
          <w:tcPr>
            <w:tcW w:w="820" w:type="dxa"/>
            <w:shd w:val="clear" w:color="auto" w:fill="auto"/>
            <w:noWrap/>
            <w:vAlign w:val="bottom"/>
            <w:hideMark/>
          </w:tcPr>
          <w:p w14:paraId="69435029" w14:textId="77777777" w:rsidR="008D1FAC" w:rsidRPr="00F658E7" w:rsidRDefault="008D1FAC" w:rsidP="0012782C">
            <w:pPr>
              <w:spacing w:after="0" w:line="240" w:lineRule="auto"/>
              <w:jc w:val="right"/>
              <w:rPr>
                <w:rFonts w:ascii="Calibri" w:eastAsia="Times New Roman" w:hAnsi="Calibri" w:cs="Calibri"/>
              </w:rPr>
            </w:pPr>
            <w:r w:rsidRPr="00F658E7">
              <w:rPr>
                <w:rFonts w:ascii="Calibri" w:eastAsia="Times New Roman" w:hAnsi="Calibri" w:cs="Calibri"/>
              </w:rPr>
              <w:t>7.3%</w:t>
            </w:r>
          </w:p>
        </w:tc>
        <w:tc>
          <w:tcPr>
            <w:tcW w:w="820" w:type="dxa"/>
            <w:shd w:val="clear" w:color="auto" w:fill="auto"/>
            <w:noWrap/>
            <w:vAlign w:val="bottom"/>
            <w:hideMark/>
          </w:tcPr>
          <w:p w14:paraId="56671926" w14:textId="77777777" w:rsidR="008D1FAC" w:rsidRPr="00F658E7" w:rsidRDefault="008D1FAC" w:rsidP="0012782C">
            <w:pPr>
              <w:spacing w:after="0" w:line="240" w:lineRule="auto"/>
              <w:jc w:val="right"/>
              <w:rPr>
                <w:rFonts w:ascii="Calibri" w:eastAsia="Times New Roman" w:hAnsi="Calibri" w:cs="Calibri"/>
              </w:rPr>
            </w:pPr>
            <w:r w:rsidRPr="00F658E7">
              <w:rPr>
                <w:rFonts w:ascii="Calibri" w:eastAsia="Times New Roman" w:hAnsi="Calibri" w:cs="Calibri"/>
              </w:rPr>
              <w:t>6.9%</w:t>
            </w:r>
          </w:p>
        </w:tc>
        <w:tc>
          <w:tcPr>
            <w:tcW w:w="820" w:type="dxa"/>
            <w:shd w:val="clear" w:color="auto" w:fill="auto"/>
            <w:noWrap/>
            <w:vAlign w:val="bottom"/>
            <w:hideMark/>
          </w:tcPr>
          <w:p w14:paraId="4C3CB8FF" w14:textId="77777777" w:rsidR="008D1FAC" w:rsidRPr="00F658E7" w:rsidRDefault="008D1FAC" w:rsidP="0012782C">
            <w:pPr>
              <w:spacing w:after="0" w:line="240" w:lineRule="auto"/>
              <w:jc w:val="right"/>
              <w:rPr>
                <w:rFonts w:ascii="Calibri" w:eastAsia="Times New Roman" w:hAnsi="Calibri" w:cs="Calibri"/>
              </w:rPr>
            </w:pPr>
            <w:r w:rsidRPr="00F658E7">
              <w:rPr>
                <w:rFonts w:ascii="Calibri" w:eastAsia="Times New Roman" w:hAnsi="Calibri" w:cs="Calibri"/>
              </w:rPr>
              <w:t>6.9%</w:t>
            </w:r>
          </w:p>
        </w:tc>
        <w:tc>
          <w:tcPr>
            <w:tcW w:w="820" w:type="dxa"/>
            <w:shd w:val="clear" w:color="auto" w:fill="auto"/>
            <w:noWrap/>
            <w:vAlign w:val="bottom"/>
            <w:hideMark/>
          </w:tcPr>
          <w:p w14:paraId="5091E195" w14:textId="77777777" w:rsidR="008D1FAC" w:rsidRPr="00F658E7" w:rsidRDefault="008D1FAC" w:rsidP="0012782C">
            <w:pPr>
              <w:spacing w:after="0" w:line="240" w:lineRule="auto"/>
              <w:jc w:val="right"/>
              <w:rPr>
                <w:rFonts w:ascii="Calibri" w:eastAsia="Times New Roman" w:hAnsi="Calibri" w:cs="Calibri"/>
              </w:rPr>
            </w:pPr>
            <w:r w:rsidRPr="00F658E7">
              <w:rPr>
                <w:rFonts w:ascii="Calibri" w:eastAsia="Times New Roman" w:hAnsi="Calibri" w:cs="Calibri"/>
              </w:rPr>
              <w:t>7.4%</w:t>
            </w:r>
          </w:p>
        </w:tc>
        <w:tc>
          <w:tcPr>
            <w:tcW w:w="820" w:type="dxa"/>
            <w:shd w:val="clear" w:color="auto" w:fill="auto"/>
            <w:noWrap/>
            <w:vAlign w:val="bottom"/>
            <w:hideMark/>
          </w:tcPr>
          <w:p w14:paraId="0787EDE5" w14:textId="77777777" w:rsidR="008D1FAC" w:rsidRPr="00F658E7" w:rsidRDefault="008D1FAC" w:rsidP="0012782C">
            <w:pPr>
              <w:spacing w:after="0" w:line="240" w:lineRule="auto"/>
              <w:jc w:val="right"/>
              <w:rPr>
                <w:rFonts w:ascii="Calibri" w:eastAsia="Times New Roman" w:hAnsi="Calibri" w:cs="Calibri"/>
              </w:rPr>
            </w:pPr>
            <w:r w:rsidRPr="00F658E7">
              <w:rPr>
                <w:rFonts w:ascii="Calibri" w:eastAsia="Times New Roman" w:hAnsi="Calibri" w:cs="Calibri"/>
              </w:rPr>
              <w:t>7.7%</w:t>
            </w:r>
          </w:p>
        </w:tc>
        <w:tc>
          <w:tcPr>
            <w:tcW w:w="820" w:type="dxa"/>
            <w:shd w:val="clear" w:color="auto" w:fill="auto"/>
            <w:noWrap/>
            <w:vAlign w:val="bottom"/>
            <w:hideMark/>
          </w:tcPr>
          <w:p w14:paraId="04BE18BA" w14:textId="77777777" w:rsidR="008D1FAC" w:rsidRPr="00F658E7" w:rsidRDefault="008D1FAC" w:rsidP="0012782C">
            <w:pPr>
              <w:spacing w:after="0" w:line="240" w:lineRule="auto"/>
              <w:jc w:val="right"/>
              <w:rPr>
                <w:rFonts w:ascii="Calibri" w:eastAsia="Times New Roman" w:hAnsi="Calibri" w:cs="Calibri"/>
              </w:rPr>
            </w:pPr>
            <w:r w:rsidRPr="00F658E7">
              <w:rPr>
                <w:rFonts w:ascii="Calibri" w:eastAsia="Times New Roman" w:hAnsi="Calibri" w:cs="Calibri"/>
              </w:rPr>
              <w:t>7.4%</w:t>
            </w:r>
          </w:p>
        </w:tc>
      </w:tr>
      <w:tr w:rsidR="008D1FAC" w:rsidRPr="00D910F0" w14:paraId="4C4B279B" w14:textId="77777777" w:rsidTr="00CB45DC">
        <w:trPr>
          <w:trHeight w:val="300"/>
        </w:trPr>
        <w:tc>
          <w:tcPr>
            <w:tcW w:w="1720" w:type="dxa"/>
            <w:shd w:val="clear" w:color="auto" w:fill="auto"/>
            <w:noWrap/>
            <w:vAlign w:val="bottom"/>
            <w:hideMark/>
          </w:tcPr>
          <w:p w14:paraId="766ECA59" w14:textId="77777777" w:rsidR="008D1FAC" w:rsidRPr="00F658E7" w:rsidRDefault="008D1FAC" w:rsidP="0012782C">
            <w:pPr>
              <w:spacing w:after="0" w:line="240" w:lineRule="auto"/>
              <w:rPr>
                <w:rFonts w:ascii="Calibri" w:eastAsia="Times New Roman" w:hAnsi="Calibri" w:cs="Calibri"/>
              </w:rPr>
            </w:pPr>
            <w:r w:rsidRPr="00F658E7">
              <w:rPr>
                <w:rFonts w:ascii="Calibri" w:eastAsia="Times New Roman" w:hAnsi="Calibri" w:cs="Calibri"/>
              </w:rPr>
              <w:t>No</w:t>
            </w:r>
          </w:p>
        </w:tc>
        <w:tc>
          <w:tcPr>
            <w:tcW w:w="820" w:type="dxa"/>
            <w:shd w:val="clear" w:color="auto" w:fill="auto"/>
            <w:noWrap/>
            <w:vAlign w:val="bottom"/>
            <w:hideMark/>
          </w:tcPr>
          <w:p w14:paraId="1355BA8F" w14:textId="77777777" w:rsidR="008D1FAC" w:rsidRPr="00F658E7" w:rsidRDefault="008D1FAC" w:rsidP="0012782C">
            <w:pPr>
              <w:spacing w:after="0" w:line="240" w:lineRule="auto"/>
              <w:jc w:val="right"/>
              <w:rPr>
                <w:rFonts w:ascii="Calibri" w:eastAsia="Times New Roman" w:hAnsi="Calibri" w:cs="Calibri"/>
              </w:rPr>
            </w:pPr>
            <w:r w:rsidRPr="00F658E7">
              <w:rPr>
                <w:rFonts w:ascii="Calibri" w:eastAsia="Times New Roman" w:hAnsi="Calibri" w:cs="Calibri"/>
              </w:rPr>
              <w:t>92.7%</w:t>
            </w:r>
          </w:p>
        </w:tc>
        <w:tc>
          <w:tcPr>
            <w:tcW w:w="820" w:type="dxa"/>
            <w:shd w:val="clear" w:color="auto" w:fill="auto"/>
            <w:noWrap/>
            <w:vAlign w:val="bottom"/>
            <w:hideMark/>
          </w:tcPr>
          <w:p w14:paraId="5AE2CE19" w14:textId="77777777" w:rsidR="008D1FAC" w:rsidRPr="00F658E7" w:rsidRDefault="008D1FAC" w:rsidP="0012782C">
            <w:pPr>
              <w:spacing w:after="0" w:line="240" w:lineRule="auto"/>
              <w:jc w:val="right"/>
              <w:rPr>
                <w:rFonts w:ascii="Calibri" w:eastAsia="Times New Roman" w:hAnsi="Calibri" w:cs="Calibri"/>
              </w:rPr>
            </w:pPr>
            <w:r w:rsidRPr="00F658E7">
              <w:rPr>
                <w:rFonts w:ascii="Calibri" w:eastAsia="Times New Roman" w:hAnsi="Calibri" w:cs="Calibri"/>
              </w:rPr>
              <w:t>93.1%</w:t>
            </w:r>
          </w:p>
        </w:tc>
        <w:tc>
          <w:tcPr>
            <w:tcW w:w="820" w:type="dxa"/>
            <w:shd w:val="clear" w:color="auto" w:fill="auto"/>
            <w:noWrap/>
            <w:vAlign w:val="bottom"/>
            <w:hideMark/>
          </w:tcPr>
          <w:p w14:paraId="4A09803B" w14:textId="77777777" w:rsidR="008D1FAC" w:rsidRPr="00F658E7" w:rsidRDefault="008D1FAC" w:rsidP="0012782C">
            <w:pPr>
              <w:spacing w:after="0" w:line="240" w:lineRule="auto"/>
              <w:jc w:val="right"/>
              <w:rPr>
                <w:rFonts w:ascii="Calibri" w:eastAsia="Times New Roman" w:hAnsi="Calibri" w:cs="Calibri"/>
              </w:rPr>
            </w:pPr>
            <w:r w:rsidRPr="00F658E7">
              <w:rPr>
                <w:rFonts w:ascii="Calibri" w:eastAsia="Times New Roman" w:hAnsi="Calibri" w:cs="Calibri"/>
              </w:rPr>
              <w:t>93.1%</w:t>
            </w:r>
          </w:p>
        </w:tc>
        <w:tc>
          <w:tcPr>
            <w:tcW w:w="820" w:type="dxa"/>
            <w:shd w:val="clear" w:color="auto" w:fill="auto"/>
            <w:noWrap/>
            <w:vAlign w:val="bottom"/>
            <w:hideMark/>
          </w:tcPr>
          <w:p w14:paraId="69892788" w14:textId="77777777" w:rsidR="008D1FAC" w:rsidRPr="00F658E7" w:rsidRDefault="008D1FAC" w:rsidP="0012782C">
            <w:pPr>
              <w:spacing w:after="0" w:line="240" w:lineRule="auto"/>
              <w:jc w:val="right"/>
              <w:rPr>
                <w:rFonts w:ascii="Calibri" w:eastAsia="Times New Roman" w:hAnsi="Calibri" w:cs="Calibri"/>
              </w:rPr>
            </w:pPr>
            <w:r w:rsidRPr="00F658E7">
              <w:rPr>
                <w:rFonts w:ascii="Calibri" w:eastAsia="Times New Roman" w:hAnsi="Calibri" w:cs="Calibri"/>
              </w:rPr>
              <w:t>92.6%</w:t>
            </w:r>
          </w:p>
        </w:tc>
        <w:tc>
          <w:tcPr>
            <w:tcW w:w="820" w:type="dxa"/>
            <w:shd w:val="clear" w:color="auto" w:fill="auto"/>
            <w:noWrap/>
            <w:vAlign w:val="bottom"/>
            <w:hideMark/>
          </w:tcPr>
          <w:p w14:paraId="4DBE6CEA" w14:textId="77777777" w:rsidR="008D1FAC" w:rsidRPr="00F658E7" w:rsidRDefault="008D1FAC" w:rsidP="0012782C">
            <w:pPr>
              <w:spacing w:after="0" w:line="240" w:lineRule="auto"/>
              <w:jc w:val="right"/>
              <w:rPr>
                <w:rFonts w:ascii="Calibri" w:eastAsia="Times New Roman" w:hAnsi="Calibri" w:cs="Calibri"/>
              </w:rPr>
            </w:pPr>
            <w:r w:rsidRPr="00F658E7">
              <w:rPr>
                <w:rFonts w:ascii="Calibri" w:eastAsia="Times New Roman" w:hAnsi="Calibri" w:cs="Calibri"/>
              </w:rPr>
              <w:t>92.3%</w:t>
            </w:r>
          </w:p>
        </w:tc>
        <w:tc>
          <w:tcPr>
            <w:tcW w:w="820" w:type="dxa"/>
            <w:shd w:val="clear" w:color="auto" w:fill="auto"/>
            <w:noWrap/>
            <w:vAlign w:val="bottom"/>
            <w:hideMark/>
          </w:tcPr>
          <w:p w14:paraId="1D65250D" w14:textId="77777777" w:rsidR="008D1FAC" w:rsidRPr="00F658E7" w:rsidRDefault="008D1FAC" w:rsidP="0012782C">
            <w:pPr>
              <w:spacing w:after="0" w:line="240" w:lineRule="auto"/>
              <w:jc w:val="right"/>
              <w:rPr>
                <w:rFonts w:ascii="Calibri" w:eastAsia="Times New Roman" w:hAnsi="Calibri" w:cs="Calibri"/>
              </w:rPr>
            </w:pPr>
            <w:r w:rsidRPr="00F658E7">
              <w:rPr>
                <w:rFonts w:ascii="Calibri" w:eastAsia="Times New Roman" w:hAnsi="Calibri" w:cs="Calibri"/>
              </w:rPr>
              <w:t>92.6%</w:t>
            </w:r>
          </w:p>
        </w:tc>
      </w:tr>
    </w:tbl>
    <w:p w14:paraId="7058BC7E" w14:textId="208AC1C5" w:rsidR="00C70D1C" w:rsidRPr="00F658E7" w:rsidRDefault="00C70D1C" w:rsidP="0012782C">
      <w:pPr>
        <w:spacing w:after="0" w:line="240" w:lineRule="auto"/>
        <w:rPr>
          <w:rFonts w:ascii="Calibri" w:eastAsia="Times New Roman" w:hAnsi="Calibri" w:cs="Calibri"/>
          <w:b/>
          <w:bCs/>
        </w:rPr>
      </w:pPr>
    </w:p>
    <w:p w14:paraId="0638645B" w14:textId="2D8A481A" w:rsidR="004E5D9F" w:rsidRPr="00F658E7" w:rsidRDefault="00665B84" w:rsidP="0012782C">
      <w:pPr>
        <w:spacing w:after="0" w:line="240" w:lineRule="auto"/>
        <w:rPr>
          <w:rFonts w:ascii="Calibri" w:eastAsia="Times New Roman" w:hAnsi="Calibri" w:cs="Calibri"/>
        </w:rPr>
      </w:pPr>
      <w:r w:rsidRPr="00665B84">
        <w:rPr>
          <w:rFonts w:ascii="Calibri" w:eastAsia="Times New Roman" w:hAnsi="Calibri" w:cs="Calibri"/>
        </w:rPr>
        <w:t xml:space="preserve">As </w:t>
      </w:r>
      <w:r>
        <w:rPr>
          <w:rFonts w:ascii="Calibri" w:eastAsia="Times New Roman" w:hAnsi="Calibri" w:cs="Calibri"/>
        </w:rPr>
        <w:t>T</w:t>
      </w:r>
      <w:r w:rsidR="004E5D9F" w:rsidRPr="00F658E7">
        <w:rPr>
          <w:rFonts w:ascii="Calibri" w:eastAsia="Times New Roman" w:hAnsi="Calibri" w:cs="Calibri"/>
        </w:rPr>
        <w:t>able 1 indicates, between 2017 and 2022 the percentage of NZ domiciled students reporting a disability on enrolment remained relatively stable.</w:t>
      </w:r>
    </w:p>
    <w:p w14:paraId="68A0425F" w14:textId="77777777" w:rsidR="004620A6" w:rsidRDefault="004620A6">
      <w:pPr>
        <w:rPr>
          <w:rFonts w:ascii="Calibri" w:eastAsia="Times New Roman" w:hAnsi="Calibri" w:cs="Calibri"/>
          <w:b/>
          <w:bCs/>
        </w:rPr>
      </w:pPr>
      <w:r>
        <w:rPr>
          <w:rFonts w:ascii="Calibri" w:eastAsia="Times New Roman" w:hAnsi="Calibri" w:cs="Calibri"/>
          <w:b/>
          <w:bCs/>
        </w:rPr>
        <w:br w:type="page"/>
      </w:r>
    </w:p>
    <w:p w14:paraId="0BA9ADE3" w14:textId="46D80763" w:rsidR="004E5D9F" w:rsidRDefault="004E5D9F" w:rsidP="0012782C">
      <w:pPr>
        <w:spacing w:after="0" w:line="240" w:lineRule="auto"/>
        <w:rPr>
          <w:rFonts w:ascii="Calibri" w:eastAsia="Times New Roman" w:hAnsi="Calibri" w:cs="Calibri"/>
          <w:b/>
          <w:bCs/>
        </w:rPr>
      </w:pPr>
      <w:r w:rsidRPr="00F658E7">
        <w:rPr>
          <w:rFonts w:ascii="Calibri" w:eastAsia="Times New Roman" w:hAnsi="Calibri" w:cs="Calibri"/>
          <w:b/>
          <w:bCs/>
        </w:rPr>
        <w:t>TABLE 2: Proportion of students reporting a disability on enrolment (domestic/international)</w:t>
      </w:r>
    </w:p>
    <w:p w14:paraId="67895E69" w14:textId="77777777" w:rsidR="009F2B55" w:rsidRPr="00F658E7" w:rsidRDefault="009F2B55" w:rsidP="0012782C">
      <w:pPr>
        <w:spacing w:after="0" w:line="240" w:lineRule="auto"/>
        <w:rPr>
          <w:rFonts w:ascii="Calibri" w:eastAsia="Times New Roman" w:hAnsi="Calibri" w:cs="Calibri"/>
          <w:b/>
          <w:bCs/>
        </w:rPr>
      </w:pPr>
    </w:p>
    <w:tbl>
      <w:tblPr>
        <w:tblW w:w="16552" w:type="dxa"/>
        <w:tblLook w:val="04A0" w:firstRow="1" w:lastRow="0" w:firstColumn="1" w:lastColumn="0" w:noHBand="0" w:noVBand="1"/>
      </w:tblPr>
      <w:tblGrid>
        <w:gridCol w:w="2547"/>
        <w:gridCol w:w="850"/>
        <w:gridCol w:w="764"/>
        <w:gridCol w:w="764"/>
        <w:gridCol w:w="764"/>
        <w:gridCol w:w="764"/>
        <w:gridCol w:w="772"/>
        <w:gridCol w:w="6362"/>
        <w:gridCol w:w="635"/>
        <w:gridCol w:w="635"/>
        <w:gridCol w:w="635"/>
        <w:gridCol w:w="635"/>
        <w:gridCol w:w="425"/>
      </w:tblGrid>
      <w:tr w:rsidR="004E5D9F" w:rsidRPr="00D910F0" w14:paraId="4CC1081D" w14:textId="77777777" w:rsidTr="004E5D9F">
        <w:trPr>
          <w:gridAfter w:val="6"/>
          <w:wAfter w:w="9327" w:type="dxa"/>
          <w:trHeight w:val="300"/>
        </w:trPr>
        <w:tc>
          <w:tcPr>
            <w:tcW w:w="2547"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71F77C6" w14:textId="77777777" w:rsidR="004E5D9F" w:rsidRPr="00665B84" w:rsidRDefault="004E5D9F" w:rsidP="0012782C">
            <w:pPr>
              <w:spacing w:after="0" w:line="240" w:lineRule="auto"/>
              <w:ind w:right="440"/>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D42AF9D" w14:textId="77777777" w:rsidR="004E5D9F" w:rsidRPr="00F658E7" w:rsidRDefault="004E5D9F" w:rsidP="0012782C">
            <w:pPr>
              <w:spacing w:after="0" w:line="240" w:lineRule="auto"/>
              <w:jc w:val="center"/>
              <w:rPr>
                <w:rFonts w:ascii="Calibri" w:hAnsi="Calibri" w:cs="Calibri"/>
                <w:b/>
                <w:bCs/>
              </w:rPr>
            </w:pPr>
            <w:r w:rsidRPr="00F658E7">
              <w:rPr>
                <w:rFonts w:ascii="Calibri" w:hAnsi="Calibri" w:cs="Calibri"/>
                <w:b/>
                <w:bCs/>
              </w:rPr>
              <w:t>2017</w:t>
            </w:r>
          </w:p>
        </w:tc>
        <w:tc>
          <w:tcPr>
            <w:tcW w:w="76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257D4DB" w14:textId="77777777" w:rsidR="004E5D9F" w:rsidRPr="00F658E7" w:rsidRDefault="004E5D9F" w:rsidP="0012782C">
            <w:pPr>
              <w:spacing w:after="0" w:line="240" w:lineRule="auto"/>
              <w:jc w:val="center"/>
              <w:rPr>
                <w:rFonts w:ascii="Calibri" w:hAnsi="Calibri" w:cs="Calibri"/>
                <w:b/>
                <w:bCs/>
              </w:rPr>
            </w:pPr>
            <w:r w:rsidRPr="00F658E7">
              <w:rPr>
                <w:rFonts w:ascii="Calibri" w:hAnsi="Calibri" w:cs="Calibri"/>
                <w:b/>
                <w:bCs/>
              </w:rPr>
              <w:t>2018</w:t>
            </w:r>
          </w:p>
        </w:tc>
        <w:tc>
          <w:tcPr>
            <w:tcW w:w="76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E8D9F97" w14:textId="77777777" w:rsidR="004E5D9F" w:rsidRPr="00F658E7" w:rsidRDefault="004E5D9F" w:rsidP="0012782C">
            <w:pPr>
              <w:spacing w:after="0" w:line="240" w:lineRule="auto"/>
              <w:jc w:val="center"/>
              <w:rPr>
                <w:rFonts w:ascii="Calibri" w:hAnsi="Calibri" w:cs="Calibri"/>
                <w:b/>
                <w:bCs/>
              </w:rPr>
            </w:pPr>
            <w:r w:rsidRPr="00F658E7">
              <w:rPr>
                <w:rFonts w:ascii="Calibri" w:hAnsi="Calibri" w:cs="Calibri"/>
                <w:b/>
                <w:bCs/>
              </w:rPr>
              <w:t>2019</w:t>
            </w:r>
          </w:p>
        </w:tc>
        <w:tc>
          <w:tcPr>
            <w:tcW w:w="76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A302904" w14:textId="77777777" w:rsidR="004E5D9F" w:rsidRPr="00F658E7" w:rsidRDefault="004E5D9F" w:rsidP="0012782C">
            <w:pPr>
              <w:spacing w:after="0" w:line="240" w:lineRule="auto"/>
              <w:jc w:val="center"/>
              <w:rPr>
                <w:rFonts w:ascii="Calibri" w:hAnsi="Calibri" w:cs="Calibri"/>
                <w:b/>
                <w:bCs/>
              </w:rPr>
            </w:pPr>
            <w:r w:rsidRPr="00F658E7">
              <w:rPr>
                <w:rFonts w:ascii="Calibri" w:hAnsi="Calibri" w:cs="Calibri"/>
                <w:b/>
                <w:bCs/>
              </w:rPr>
              <w:t>2020</w:t>
            </w:r>
          </w:p>
        </w:tc>
        <w:tc>
          <w:tcPr>
            <w:tcW w:w="764"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64A24B07" w14:textId="77777777" w:rsidR="004E5D9F" w:rsidRPr="00F658E7" w:rsidRDefault="004E5D9F" w:rsidP="0012782C">
            <w:pPr>
              <w:spacing w:after="0" w:line="240" w:lineRule="auto"/>
              <w:jc w:val="center"/>
              <w:rPr>
                <w:rFonts w:ascii="Calibri" w:hAnsi="Calibri" w:cs="Calibri"/>
                <w:b/>
                <w:bCs/>
              </w:rPr>
            </w:pPr>
            <w:r w:rsidRPr="00F658E7">
              <w:rPr>
                <w:rFonts w:ascii="Calibri" w:hAnsi="Calibri" w:cs="Calibri"/>
                <w:b/>
                <w:bCs/>
              </w:rPr>
              <w:t>2021</w:t>
            </w:r>
          </w:p>
        </w:tc>
        <w:tc>
          <w:tcPr>
            <w:tcW w:w="772"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1253DCF" w14:textId="77777777" w:rsidR="004E5D9F" w:rsidRPr="00F658E7" w:rsidRDefault="004E5D9F" w:rsidP="0012782C">
            <w:pPr>
              <w:spacing w:after="0" w:line="240" w:lineRule="auto"/>
              <w:jc w:val="center"/>
              <w:rPr>
                <w:rFonts w:ascii="Calibri" w:hAnsi="Calibri" w:cs="Calibri"/>
                <w:b/>
                <w:bCs/>
              </w:rPr>
            </w:pPr>
            <w:r w:rsidRPr="00F658E7">
              <w:rPr>
                <w:rFonts w:ascii="Calibri" w:hAnsi="Calibri" w:cs="Calibri"/>
                <w:b/>
                <w:bCs/>
              </w:rPr>
              <w:t>2022</w:t>
            </w:r>
            <w:r w:rsidRPr="00F658E7">
              <w:rPr>
                <w:rFonts w:ascii="Calibri" w:eastAsia="Times New Roman" w:hAnsi="Calibri" w:cs="Calibri"/>
                <w:b/>
                <w:bCs/>
              </w:rPr>
              <w:t>*</w:t>
            </w:r>
            <w:r w:rsidRPr="00F658E7">
              <w:rPr>
                <w:rFonts w:ascii="Calibri" w:hAnsi="Calibri" w:cs="Calibri"/>
                <w:b/>
                <w:bCs/>
              </w:rPr>
              <w:t xml:space="preserve"> </w:t>
            </w:r>
          </w:p>
        </w:tc>
      </w:tr>
      <w:tr w:rsidR="004E5D9F" w:rsidRPr="00D910F0" w14:paraId="1A597246" w14:textId="77777777" w:rsidTr="00F658E7">
        <w:trPr>
          <w:gridAfter w:val="6"/>
          <w:wAfter w:w="9327" w:type="dxa"/>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1192D" w14:textId="5072AD2F" w:rsidR="004E5D9F" w:rsidRPr="00F658E7" w:rsidRDefault="004E5D9F" w:rsidP="0012782C">
            <w:pPr>
              <w:spacing w:after="0" w:line="240" w:lineRule="auto"/>
              <w:rPr>
                <w:rFonts w:ascii="Calibri" w:hAnsi="Calibri" w:cs="Calibri"/>
              </w:rPr>
            </w:pPr>
            <w:r w:rsidRPr="00F658E7">
              <w:rPr>
                <w:rFonts w:ascii="Calibri" w:hAnsi="Calibri" w:cs="Calibri"/>
              </w:rPr>
              <w:t>Domestic</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FA89E" w14:textId="7606A6FD" w:rsidR="004E5D9F" w:rsidRPr="00F658E7" w:rsidRDefault="004E5D9F" w:rsidP="0012782C">
            <w:pPr>
              <w:spacing w:after="0" w:line="240" w:lineRule="auto"/>
              <w:jc w:val="right"/>
              <w:rPr>
                <w:rFonts w:ascii="Calibri" w:hAnsi="Calibri" w:cs="Calibri"/>
              </w:rPr>
            </w:pPr>
            <w:r w:rsidRPr="00F658E7">
              <w:rPr>
                <w:rFonts w:ascii="Calibri" w:hAnsi="Calibri" w:cs="Calibri"/>
              </w:rPr>
              <w:t>8.8%</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48400" w14:textId="33699781" w:rsidR="004E5D9F" w:rsidRPr="00F658E7" w:rsidRDefault="004E5D9F" w:rsidP="0012782C">
            <w:pPr>
              <w:spacing w:after="0" w:line="240" w:lineRule="auto"/>
              <w:jc w:val="right"/>
              <w:rPr>
                <w:rFonts w:ascii="Calibri" w:hAnsi="Calibri" w:cs="Calibri"/>
              </w:rPr>
            </w:pPr>
            <w:r w:rsidRPr="00F658E7">
              <w:rPr>
                <w:rFonts w:ascii="Calibri" w:hAnsi="Calibri" w:cs="Calibri"/>
              </w:rPr>
              <w:t>8.6%</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8BC3A" w14:textId="60D95815" w:rsidR="004E5D9F" w:rsidRPr="00F658E7" w:rsidRDefault="004E5D9F" w:rsidP="0012782C">
            <w:pPr>
              <w:spacing w:after="0" w:line="240" w:lineRule="auto"/>
              <w:jc w:val="right"/>
              <w:rPr>
                <w:rFonts w:ascii="Calibri" w:hAnsi="Calibri" w:cs="Calibri"/>
              </w:rPr>
            </w:pPr>
            <w:r w:rsidRPr="00F658E7">
              <w:rPr>
                <w:rFonts w:ascii="Calibri" w:hAnsi="Calibri" w:cs="Calibri"/>
              </w:rPr>
              <w:t>8.9%</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A012A" w14:textId="112461FA" w:rsidR="004E5D9F" w:rsidRPr="00F658E7" w:rsidRDefault="004E5D9F" w:rsidP="0012782C">
            <w:pPr>
              <w:spacing w:after="0" w:line="240" w:lineRule="auto"/>
              <w:jc w:val="right"/>
              <w:rPr>
                <w:rFonts w:ascii="Calibri" w:hAnsi="Calibri" w:cs="Calibri"/>
              </w:rPr>
            </w:pPr>
            <w:r w:rsidRPr="00F658E7">
              <w:rPr>
                <w:rFonts w:ascii="Calibri" w:hAnsi="Calibri" w:cs="Calibri"/>
              </w:rPr>
              <w:t>8.9%</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BB174" w14:textId="54C7C31E" w:rsidR="004E5D9F" w:rsidRPr="00F658E7" w:rsidRDefault="004E5D9F" w:rsidP="0012782C">
            <w:pPr>
              <w:spacing w:after="0" w:line="240" w:lineRule="auto"/>
              <w:jc w:val="right"/>
              <w:rPr>
                <w:rFonts w:ascii="Calibri" w:hAnsi="Calibri" w:cs="Calibri"/>
              </w:rPr>
            </w:pPr>
            <w:r w:rsidRPr="00F658E7">
              <w:rPr>
                <w:rFonts w:ascii="Calibri" w:hAnsi="Calibri" w:cs="Calibri"/>
              </w:rPr>
              <w:t>8.8%</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37919" w14:textId="12E25AA8" w:rsidR="004E5D9F" w:rsidRPr="00F658E7" w:rsidRDefault="004E5D9F" w:rsidP="0012782C">
            <w:pPr>
              <w:spacing w:after="0" w:line="240" w:lineRule="auto"/>
              <w:jc w:val="right"/>
              <w:rPr>
                <w:rFonts w:ascii="Calibri" w:hAnsi="Calibri" w:cs="Calibri"/>
              </w:rPr>
            </w:pPr>
            <w:r w:rsidRPr="00F658E7">
              <w:rPr>
                <w:rFonts w:ascii="Calibri" w:hAnsi="Calibri" w:cs="Calibri"/>
              </w:rPr>
              <w:t>8.4%</w:t>
            </w:r>
          </w:p>
        </w:tc>
      </w:tr>
      <w:tr w:rsidR="004E5D9F" w:rsidRPr="00D910F0" w14:paraId="4B875456" w14:textId="77777777" w:rsidTr="00F658E7">
        <w:trPr>
          <w:gridAfter w:val="6"/>
          <w:wAfter w:w="9327" w:type="dxa"/>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1B820" w14:textId="104B8090" w:rsidR="004E5D9F" w:rsidRPr="00F658E7" w:rsidRDefault="004E5D9F" w:rsidP="0012782C">
            <w:pPr>
              <w:spacing w:after="0" w:line="240" w:lineRule="auto"/>
              <w:rPr>
                <w:rFonts w:ascii="Calibri" w:hAnsi="Calibri" w:cs="Calibri"/>
              </w:rPr>
            </w:pPr>
            <w:r w:rsidRPr="00F658E7">
              <w:rPr>
                <w:rFonts w:ascii="Calibri" w:hAnsi="Calibri" w:cs="Calibri"/>
              </w:rPr>
              <w:t>International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19584" w14:textId="352495A7" w:rsidR="004E5D9F" w:rsidRPr="00F658E7" w:rsidRDefault="004E5D9F" w:rsidP="0012782C">
            <w:pPr>
              <w:spacing w:after="0" w:line="240" w:lineRule="auto"/>
              <w:jc w:val="right"/>
              <w:rPr>
                <w:rFonts w:ascii="Calibri" w:hAnsi="Calibri" w:cs="Calibri"/>
              </w:rPr>
            </w:pPr>
            <w:r w:rsidRPr="00F658E7">
              <w:rPr>
                <w:rFonts w:ascii="Calibri" w:hAnsi="Calibri" w:cs="Calibri"/>
              </w:rPr>
              <w:t>1.3%</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1C664" w14:textId="479403DF" w:rsidR="004E5D9F" w:rsidRPr="00F658E7" w:rsidRDefault="004E5D9F" w:rsidP="0012782C">
            <w:pPr>
              <w:spacing w:after="0" w:line="240" w:lineRule="auto"/>
              <w:jc w:val="right"/>
              <w:rPr>
                <w:rFonts w:ascii="Calibri" w:hAnsi="Calibri" w:cs="Calibri"/>
              </w:rPr>
            </w:pPr>
            <w:r w:rsidRPr="00F658E7">
              <w:rPr>
                <w:rFonts w:ascii="Calibri" w:hAnsi="Calibri" w:cs="Calibri"/>
              </w:rPr>
              <w:t>0.9%</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4B135" w14:textId="7CB13F8E" w:rsidR="004E5D9F" w:rsidRPr="00F658E7" w:rsidRDefault="004E5D9F" w:rsidP="0012782C">
            <w:pPr>
              <w:spacing w:after="0" w:line="240" w:lineRule="auto"/>
              <w:jc w:val="right"/>
              <w:rPr>
                <w:rFonts w:ascii="Calibri" w:hAnsi="Calibri" w:cs="Calibri"/>
              </w:rPr>
            </w:pPr>
            <w:r w:rsidRPr="00F658E7">
              <w:rPr>
                <w:rFonts w:ascii="Calibri" w:hAnsi="Calibri" w:cs="Calibri"/>
              </w:rPr>
              <w:t>0.7%</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F3804" w14:textId="473C8DD8" w:rsidR="004E5D9F" w:rsidRPr="00F658E7" w:rsidRDefault="004E5D9F" w:rsidP="0012782C">
            <w:pPr>
              <w:spacing w:after="0" w:line="240" w:lineRule="auto"/>
              <w:jc w:val="right"/>
              <w:rPr>
                <w:rFonts w:ascii="Calibri" w:hAnsi="Calibri" w:cs="Calibri"/>
              </w:rPr>
            </w:pPr>
            <w:r w:rsidRPr="00F658E7">
              <w:rPr>
                <w:rFonts w:ascii="Calibri" w:hAnsi="Calibri" w:cs="Calibri"/>
              </w:rPr>
              <w:t>1.0%</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4AB5F" w14:textId="1D80B9CA" w:rsidR="004E5D9F" w:rsidRPr="00F658E7" w:rsidRDefault="004E5D9F" w:rsidP="0012782C">
            <w:pPr>
              <w:spacing w:after="0" w:line="240" w:lineRule="auto"/>
              <w:jc w:val="right"/>
              <w:rPr>
                <w:rFonts w:ascii="Calibri" w:hAnsi="Calibri" w:cs="Calibri"/>
              </w:rPr>
            </w:pPr>
            <w:r w:rsidRPr="00F658E7">
              <w:rPr>
                <w:rFonts w:ascii="Calibri" w:hAnsi="Calibri" w:cs="Calibri"/>
              </w:rPr>
              <w:t>0.9%</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F4503" w14:textId="290925D4" w:rsidR="004E5D9F" w:rsidRPr="00F658E7" w:rsidRDefault="004E5D9F" w:rsidP="0012782C">
            <w:pPr>
              <w:spacing w:after="0" w:line="240" w:lineRule="auto"/>
              <w:jc w:val="right"/>
              <w:rPr>
                <w:rFonts w:ascii="Calibri" w:hAnsi="Calibri" w:cs="Calibri"/>
              </w:rPr>
            </w:pPr>
            <w:r w:rsidRPr="00F658E7">
              <w:rPr>
                <w:rFonts w:ascii="Calibri" w:hAnsi="Calibri" w:cs="Calibri"/>
              </w:rPr>
              <w:t>1.1%</w:t>
            </w:r>
          </w:p>
        </w:tc>
      </w:tr>
      <w:tr w:rsidR="00665B84" w:rsidRPr="00D910F0" w14:paraId="4AFA81CE" w14:textId="77777777" w:rsidTr="004E5D9F">
        <w:trPr>
          <w:trHeight w:val="300"/>
        </w:trPr>
        <w:tc>
          <w:tcPr>
            <w:tcW w:w="7225" w:type="dxa"/>
            <w:gridSpan w:val="7"/>
            <w:tcBorders>
              <w:top w:val="nil"/>
              <w:left w:val="nil"/>
              <w:bottom w:val="nil"/>
              <w:right w:val="nil"/>
            </w:tcBorders>
            <w:shd w:val="clear" w:color="auto" w:fill="auto"/>
            <w:noWrap/>
            <w:vAlign w:val="bottom"/>
          </w:tcPr>
          <w:p w14:paraId="0DAB1D94" w14:textId="6F170B7C" w:rsidR="00C92028" w:rsidRPr="00F658E7" w:rsidRDefault="00C92028" w:rsidP="0012782C">
            <w:pPr>
              <w:spacing w:after="0" w:line="240" w:lineRule="auto"/>
              <w:rPr>
                <w:rFonts w:ascii="Calibri" w:eastAsia="Times New Roman" w:hAnsi="Calibri" w:cs="Calibri"/>
              </w:rPr>
            </w:pPr>
          </w:p>
        </w:tc>
        <w:tc>
          <w:tcPr>
            <w:tcW w:w="6362" w:type="dxa"/>
            <w:tcBorders>
              <w:top w:val="nil"/>
              <w:left w:val="nil"/>
              <w:bottom w:val="nil"/>
              <w:right w:val="nil"/>
            </w:tcBorders>
            <w:shd w:val="clear" w:color="auto" w:fill="auto"/>
            <w:noWrap/>
            <w:vAlign w:val="bottom"/>
          </w:tcPr>
          <w:p w14:paraId="789A7ACC" w14:textId="5E293D07" w:rsidR="00C92028" w:rsidRPr="00F658E7" w:rsidRDefault="00C92028" w:rsidP="0012782C">
            <w:pPr>
              <w:spacing w:after="0" w:line="240" w:lineRule="auto"/>
              <w:rPr>
                <w:rFonts w:ascii="Calibri" w:eastAsia="Times New Roman" w:hAnsi="Calibri" w:cs="Calibri"/>
              </w:rPr>
            </w:pPr>
          </w:p>
        </w:tc>
        <w:tc>
          <w:tcPr>
            <w:tcW w:w="635" w:type="dxa"/>
            <w:tcBorders>
              <w:top w:val="nil"/>
              <w:left w:val="nil"/>
              <w:bottom w:val="nil"/>
              <w:right w:val="nil"/>
            </w:tcBorders>
            <w:shd w:val="clear" w:color="auto" w:fill="auto"/>
            <w:noWrap/>
            <w:vAlign w:val="bottom"/>
          </w:tcPr>
          <w:p w14:paraId="5965E19D" w14:textId="4D520226" w:rsidR="00C92028" w:rsidRPr="00F658E7" w:rsidRDefault="00C92028" w:rsidP="0012782C">
            <w:pPr>
              <w:spacing w:after="0" w:line="240" w:lineRule="auto"/>
              <w:rPr>
                <w:rFonts w:ascii="Calibri" w:eastAsia="Times New Roman" w:hAnsi="Calibri" w:cs="Calibri"/>
              </w:rPr>
            </w:pPr>
          </w:p>
        </w:tc>
        <w:tc>
          <w:tcPr>
            <w:tcW w:w="635" w:type="dxa"/>
            <w:tcBorders>
              <w:top w:val="nil"/>
              <w:left w:val="nil"/>
              <w:bottom w:val="nil"/>
              <w:right w:val="nil"/>
            </w:tcBorders>
            <w:shd w:val="clear" w:color="auto" w:fill="auto"/>
            <w:noWrap/>
            <w:vAlign w:val="bottom"/>
          </w:tcPr>
          <w:p w14:paraId="348D2777" w14:textId="076F2102" w:rsidR="00C92028" w:rsidRPr="00F658E7" w:rsidRDefault="00C92028" w:rsidP="0012782C">
            <w:pPr>
              <w:spacing w:after="0" w:line="240" w:lineRule="auto"/>
              <w:rPr>
                <w:rFonts w:ascii="Calibri" w:eastAsia="Times New Roman" w:hAnsi="Calibri" w:cs="Calibri"/>
              </w:rPr>
            </w:pPr>
          </w:p>
        </w:tc>
        <w:tc>
          <w:tcPr>
            <w:tcW w:w="635" w:type="dxa"/>
            <w:tcBorders>
              <w:top w:val="nil"/>
              <w:left w:val="nil"/>
              <w:bottom w:val="nil"/>
              <w:right w:val="nil"/>
            </w:tcBorders>
            <w:shd w:val="clear" w:color="auto" w:fill="auto"/>
            <w:noWrap/>
            <w:vAlign w:val="bottom"/>
          </w:tcPr>
          <w:p w14:paraId="262FDB7F" w14:textId="4513108F" w:rsidR="00C92028" w:rsidRPr="00F658E7" w:rsidRDefault="00C92028" w:rsidP="0012782C">
            <w:pPr>
              <w:spacing w:after="0" w:line="240" w:lineRule="auto"/>
              <w:rPr>
                <w:rFonts w:ascii="Calibri" w:eastAsia="Times New Roman" w:hAnsi="Calibri" w:cs="Calibri"/>
              </w:rPr>
            </w:pPr>
          </w:p>
        </w:tc>
        <w:tc>
          <w:tcPr>
            <w:tcW w:w="635" w:type="dxa"/>
            <w:tcBorders>
              <w:top w:val="nil"/>
              <w:left w:val="nil"/>
              <w:bottom w:val="nil"/>
              <w:right w:val="nil"/>
            </w:tcBorders>
            <w:shd w:val="clear" w:color="auto" w:fill="auto"/>
            <w:noWrap/>
            <w:vAlign w:val="bottom"/>
          </w:tcPr>
          <w:p w14:paraId="150453C2" w14:textId="32E98EAB" w:rsidR="00C92028" w:rsidRPr="00F658E7" w:rsidRDefault="00C92028" w:rsidP="0012782C">
            <w:pPr>
              <w:spacing w:after="0" w:line="240" w:lineRule="auto"/>
              <w:rPr>
                <w:rFonts w:ascii="Calibri" w:eastAsia="Times New Roman" w:hAnsi="Calibri" w:cs="Calibri"/>
              </w:rPr>
            </w:pPr>
          </w:p>
        </w:tc>
        <w:tc>
          <w:tcPr>
            <w:tcW w:w="425" w:type="dxa"/>
            <w:tcBorders>
              <w:top w:val="nil"/>
              <w:left w:val="nil"/>
              <w:bottom w:val="nil"/>
              <w:right w:val="nil"/>
            </w:tcBorders>
            <w:shd w:val="clear" w:color="auto" w:fill="auto"/>
            <w:noWrap/>
            <w:vAlign w:val="bottom"/>
          </w:tcPr>
          <w:p w14:paraId="620DEAED" w14:textId="1AD3301D" w:rsidR="00C92028" w:rsidRPr="00F658E7" w:rsidRDefault="00C92028" w:rsidP="0012782C">
            <w:pPr>
              <w:spacing w:after="0" w:line="240" w:lineRule="auto"/>
              <w:rPr>
                <w:rFonts w:ascii="Calibri" w:eastAsia="Times New Roman" w:hAnsi="Calibri" w:cs="Calibri"/>
              </w:rPr>
            </w:pPr>
          </w:p>
        </w:tc>
      </w:tr>
    </w:tbl>
    <w:p w14:paraId="0203F64B" w14:textId="0E139BCF" w:rsidR="00013FDC" w:rsidRPr="00F658E7" w:rsidRDefault="00013FDC" w:rsidP="0012782C">
      <w:pPr>
        <w:spacing w:after="0" w:line="240" w:lineRule="auto"/>
        <w:rPr>
          <w:rFonts w:ascii="Calibri" w:hAnsi="Calibri" w:cs="Calibri"/>
          <w:shd w:val="clear" w:color="auto" w:fill="FFFFFF"/>
        </w:rPr>
      </w:pPr>
      <w:r w:rsidRPr="00F658E7">
        <w:rPr>
          <w:rFonts w:ascii="Calibri" w:hAnsi="Calibri" w:cs="Calibri"/>
          <w:shd w:val="clear" w:color="auto" w:fill="FFFFFF"/>
        </w:rPr>
        <w:t>As Table 2 indicates, a significantly lower proportion of international students report a disability on enrolment; this proportion has remained relatively consistent at around 1% over the previous six years, as has the proportion of domestic students reporting a disability on enrolment (8-9%).</w:t>
      </w:r>
    </w:p>
    <w:p w14:paraId="214D019C" w14:textId="4643AE3A" w:rsidR="00013FDC" w:rsidRPr="00F658E7" w:rsidRDefault="00013FDC" w:rsidP="0012782C">
      <w:pPr>
        <w:spacing w:after="0" w:line="240" w:lineRule="auto"/>
        <w:rPr>
          <w:rFonts w:ascii="Calibri" w:hAnsi="Calibri" w:cs="Calibri"/>
          <w:shd w:val="clear" w:color="auto" w:fill="FFFFFF"/>
        </w:rPr>
      </w:pPr>
    </w:p>
    <w:p w14:paraId="7FEDF22A" w14:textId="0047FAB9" w:rsidR="00855D07" w:rsidRPr="00F658E7" w:rsidRDefault="00855D07" w:rsidP="0012782C">
      <w:pPr>
        <w:spacing w:after="0" w:line="240" w:lineRule="auto"/>
        <w:rPr>
          <w:rFonts w:ascii="Calibri" w:hAnsi="Calibri" w:cs="Calibri"/>
          <w:b/>
          <w:bCs/>
          <w:shd w:val="clear" w:color="auto" w:fill="FFFFFF"/>
        </w:rPr>
      </w:pPr>
      <w:r w:rsidRPr="00F658E7">
        <w:rPr>
          <w:rFonts w:ascii="Calibri" w:hAnsi="Calibri" w:cs="Calibri"/>
          <w:b/>
          <w:bCs/>
          <w:shd w:val="clear" w:color="auto" w:fill="FFFFFF"/>
        </w:rPr>
        <w:t>TABLE 3: Proportion of students by gender reporting a disability</w:t>
      </w:r>
    </w:p>
    <w:p w14:paraId="66703F20" w14:textId="77777777" w:rsidR="00855D07" w:rsidRPr="00F658E7" w:rsidRDefault="00855D07" w:rsidP="0012782C">
      <w:pPr>
        <w:spacing w:after="0" w:line="240" w:lineRule="auto"/>
        <w:rPr>
          <w:rFonts w:ascii="Calibri" w:hAnsi="Calibri" w:cs="Calibri"/>
          <w:shd w:val="clear" w:color="auto" w:fill="FFFFFF"/>
        </w:rPr>
      </w:pPr>
    </w:p>
    <w:tbl>
      <w:tblPr>
        <w:tblStyle w:val="TableGrid"/>
        <w:tblW w:w="0" w:type="auto"/>
        <w:tblLook w:val="04A0" w:firstRow="1" w:lastRow="0" w:firstColumn="1" w:lastColumn="0" w:noHBand="0" w:noVBand="1"/>
      </w:tblPr>
      <w:tblGrid>
        <w:gridCol w:w="2547"/>
        <w:gridCol w:w="779"/>
        <w:gridCol w:w="780"/>
        <w:gridCol w:w="780"/>
        <w:gridCol w:w="779"/>
        <w:gridCol w:w="780"/>
        <w:gridCol w:w="780"/>
      </w:tblGrid>
      <w:tr w:rsidR="005B4978" w:rsidRPr="00D910F0" w14:paraId="3F5A455E" w14:textId="77777777" w:rsidTr="00F658E7">
        <w:tc>
          <w:tcPr>
            <w:tcW w:w="2547" w:type="dxa"/>
          </w:tcPr>
          <w:p w14:paraId="7B3290DA" w14:textId="77777777" w:rsidR="00855D07" w:rsidRPr="00F658E7" w:rsidRDefault="00855D07" w:rsidP="0012782C">
            <w:pPr>
              <w:rPr>
                <w:rFonts w:ascii="Calibri" w:hAnsi="Calibri" w:cs="Calibri"/>
                <w:shd w:val="clear" w:color="auto" w:fill="FFFFFF"/>
              </w:rPr>
            </w:pPr>
          </w:p>
        </w:tc>
        <w:tc>
          <w:tcPr>
            <w:tcW w:w="779" w:type="dxa"/>
          </w:tcPr>
          <w:p w14:paraId="5DEC006B" w14:textId="77777777" w:rsidR="00855D07" w:rsidRPr="00F658E7" w:rsidRDefault="00855D07" w:rsidP="0012782C">
            <w:pPr>
              <w:jc w:val="center"/>
              <w:rPr>
                <w:rFonts w:ascii="Calibri" w:hAnsi="Calibri" w:cs="Calibri"/>
                <w:b/>
                <w:bCs/>
                <w:shd w:val="clear" w:color="auto" w:fill="FFFFFF"/>
              </w:rPr>
            </w:pPr>
            <w:r w:rsidRPr="00F658E7">
              <w:rPr>
                <w:rFonts w:ascii="Calibri" w:hAnsi="Calibri" w:cs="Calibri"/>
                <w:b/>
                <w:bCs/>
                <w:shd w:val="clear" w:color="auto" w:fill="FFFFFF"/>
              </w:rPr>
              <w:t>2017</w:t>
            </w:r>
          </w:p>
        </w:tc>
        <w:tc>
          <w:tcPr>
            <w:tcW w:w="780" w:type="dxa"/>
          </w:tcPr>
          <w:p w14:paraId="41D8E136" w14:textId="77777777" w:rsidR="00855D07" w:rsidRPr="00F658E7" w:rsidRDefault="00855D07" w:rsidP="0012782C">
            <w:pPr>
              <w:jc w:val="center"/>
              <w:rPr>
                <w:rFonts w:ascii="Calibri" w:hAnsi="Calibri" w:cs="Calibri"/>
                <w:b/>
                <w:bCs/>
                <w:shd w:val="clear" w:color="auto" w:fill="FFFFFF"/>
              </w:rPr>
            </w:pPr>
            <w:r w:rsidRPr="00F658E7">
              <w:rPr>
                <w:rFonts w:ascii="Calibri" w:hAnsi="Calibri" w:cs="Calibri"/>
                <w:b/>
                <w:bCs/>
                <w:shd w:val="clear" w:color="auto" w:fill="FFFFFF"/>
              </w:rPr>
              <w:t>2018</w:t>
            </w:r>
          </w:p>
        </w:tc>
        <w:tc>
          <w:tcPr>
            <w:tcW w:w="780" w:type="dxa"/>
          </w:tcPr>
          <w:p w14:paraId="3844B460" w14:textId="77777777" w:rsidR="00855D07" w:rsidRPr="00F658E7" w:rsidRDefault="00855D07" w:rsidP="0012782C">
            <w:pPr>
              <w:jc w:val="center"/>
              <w:rPr>
                <w:rFonts w:ascii="Calibri" w:hAnsi="Calibri" w:cs="Calibri"/>
                <w:b/>
                <w:bCs/>
                <w:shd w:val="clear" w:color="auto" w:fill="FFFFFF"/>
              </w:rPr>
            </w:pPr>
            <w:r w:rsidRPr="00F658E7">
              <w:rPr>
                <w:rFonts w:ascii="Calibri" w:hAnsi="Calibri" w:cs="Calibri"/>
                <w:b/>
                <w:bCs/>
                <w:shd w:val="clear" w:color="auto" w:fill="FFFFFF"/>
              </w:rPr>
              <w:t>2019</w:t>
            </w:r>
          </w:p>
        </w:tc>
        <w:tc>
          <w:tcPr>
            <w:tcW w:w="779" w:type="dxa"/>
          </w:tcPr>
          <w:p w14:paraId="3EC8A5F6" w14:textId="77777777" w:rsidR="00855D07" w:rsidRPr="00F658E7" w:rsidRDefault="00855D07" w:rsidP="0012782C">
            <w:pPr>
              <w:jc w:val="center"/>
              <w:rPr>
                <w:rFonts w:ascii="Calibri" w:hAnsi="Calibri" w:cs="Calibri"/>
                <w:b/>
                <w:bCs/>
                <w:shd w:val="clear" w:color="auto" w:fill="FFFFFF"/>
              </w:rPr>
            </w:pPr>
            <w:r w:rsidRPr="00F658E7">
              <w:rPr>
                <w:rFonts w:ascii="Calibri" w:hAnsi="Calibri" w:cs="Calibri"/>
                <w:b/>
                <w:bCs/>
                <w:shd w:val="clear" w:color="auto" w:fill="FFFFFF"/>
              </w:rPr>
              <w:t>2020</w:t>
            </w:r>
          </w:p>
        </w:tc>
        <w:tc>
          <w:tcPr>
            <w:tcW w:w="780" w:type="dxa"/>
          </w:tcPr>
          <w:p w14:paraId="3293951A" w14:textId="77777777" w:rsidR="00855D07" w:rsidRPr="00F658E7" w:rsidRDefault="00855D07" w:rsidP="0012782C">
            <w:pPr>
              <w:jc w:val="center"/>
              <w:rPr>
                <w:rFonts w:ascii="Calibri" w:hAnsi="Calibri" w:cs="Calibri"/>
                <w:b/>
                <w:bCs/>
                <w:shd w:val="clear" w:color="auto" w:fill="FFFFFF"/>
              </w:rPr>
            </w:pPr>
            <w:r w:rsidRPr="00F658E7">
              <w:rPr>
                <w:rFonts w:ascii="Calibri" w:hAnsi="Calibri" w:cs="Calibri"/>
                <w:b/>
                <w:bCs/>
                <w:shd w:val="clear" w:color="auto" w:fill="FFFFFF"/>
              </w:rPr>
              <w:t>2021</w:t>
            </w:r>
          </w:p>
        </w:tc>
        <w:tc>
          <w:tcPr>
            <w:tcW w:w="780" w:type="dxa"/>
          </w:tcPr>
          <w:p w14:paraId="62CBCBE7" w14:textId="6A03910D" w:rsidR="00855D07" w:rsidRPr="00F658E7" w:rsidRDefault="00855D07" w:rsidP="0012782C">
            <w:pPr>
              <w:jc w:val="center"/>
              <w:rPr>
                <w:rFonts w:ascii="Calibri" w:hAnsi="Calibri" w:cs="Calibri"/>
                <w:b/>
                <w:bCs/>
                <w:shd w:val="clear" w:color="auto" w:fill="FFFFFF"/>
              </w:rPr>
            </w:pPr>
            <w:r w:rsidRPr="00F658E7">
              <w:rPr>
                <w:rFonts w:ascii="Calibri" w:hAnsi="Calibri" w:cs="Calibri"/>
                <w:b/>
                <w:bCs/>
                <w:shd w:val="clear" w:color="auto" w:fill="FFFFFF"/>
              </w:rPr>
              <w:t>2022</w:t>
            </w:r>
            <w:r w:rsidR="009F2B55" w:rsidRPr="00520A86">
              <w:rPr>
                <w:rFonts w:ascii="Calibri" w:eastAsia="Times New Roman" w:hAnsi="Calibri" w:cs="Calibri"/>
                <w:b/>
                <w:bCs/>
              </w:rPr>
              <w:t>*</w:t>
            </w:r>
          </w:p>
        </w:tc>
      </w:tr>
      <w:tr w:rsidR="005B4978" w:rsidRPr="00D910F0" w14:paraId="7A2FEF15" w14:textId="77777777" w:rsidTr="00F658E7">
        <w:tc>
          <w:tcPr>
            <w:tcW w:w="2547" w:type="dxa"/>
          </w:tcPr>
          <w:p w14:paraId="052408EF" w14:textId="77777777" w:rsidR="00855D07" w:rsidRPr="00F658E7" w:rsidRDefault="00855D07" w:rsidP="0012782C">
            <w:pPr>
              <w:rPr>
                <w:rFonts w:ascii="Calibri" w:hAnsi="Calibri" w:cs="Calibri"/>
                <w:shd w:val="clear" w:color="auto" w:fill="FFFFFF"/>
              </w:rPr>
            </w:pPr>
            <w:r w:rsidRPr="00F658E7">
              <w:rPr>
                <w:rFonts w:ascii="Calibri" w:hAnsi="Calibri" w:cs="Calibri"/>
                <w:shd w:val="clear" w:color="auto" w:fill="FFFFFF"/>
              </w:rPr>
              <w:t>Female</w:t>
            </w:r>
          </w:p>
        </w:tc>
        <w:tc>
          <w:tcPr>
            <w:tcW w:w="779" w:type="dxa"/>
            <w:vAlign w:val="center"/>
          </w:tcPr>
          <w:p w14:paraId="52776DDF" w14:textId="77777777" w:rsidR="00855D07" w:rsidRPr="00F658E7" w:rsidRDefault="00855D07" w:rsidP="0012782C">
            <w:pPr>
              <w:jc w:val="right"/>
              <w:rPr>
                <w:rFonts w:ascii="Calibri" w:hAnsi="Calibri" w:cs="Calibri"/>
                <w:shd w:val="clear" w:color="auto" w:fill="FFFFFF"/>
              </w:rPr>
            </w:pPr>
            <w:r w:rsidRPr="00F658E7">
              <w:rPr>
                <w:rFonts w:ascii="Calibri" w:hAnsi="Calibri" w:cs="Calibri"/>
                <w:shd w:val="clear" w:color="auto" w:fill="FFFFFF"/>
              </w:rPr>
              <w:t>7.4%</w:t>
            </w:r>
          </w:p>
        </w:tc>
        <w:tc>
          <w:tcPr>
            <w:tcW w:w="780" w:type="dxa"/>
            <w:vAlign w:val="center"/>
          </w:tcPr>
          <w:p w14:paraId="4ABEF4EE" w14:textId="77777777" w:rsidR="00855D07" w:rsidRPr="00F658E7" w:rsidRDefault="00855D07" w:rsidP="0012782C">
            <w:pPr>
              <w:jc w:val="right"/>
              <w:rPr>
                <w:rFonts w:ascii="Calibri" w:hAnsi="Calibri" w:cs="Calibri"/>
                <w:shd w:val="clear" w:color="auto" w:fill="FFFFFF"/>
              </w:rPr>
            </w:pPr>
            <w:r w:rsidRPr="00F658E7">
              <w:rPr>
                <w:rFonts w:ascii="Calibri" w:hAnsi="Calibri" w:cs="Calibri"/>
                <w:shd w:val="clear" w:color="auto" w:fill="FFFFFF"/>
              </w:rPr>
              <w:t>7.3%</w:t>
            </w:r>
          </w:p>
        </w:tc>
        <w:tc>
          <w:tcPr>
            <w:tcW w:w="780" w:type="dxa"/>
            <w:vAlign w:val="center"/>
          </w:tcPr>
          <w:p w14:paraId="1AC71E0A" w14:textId="77777777" w:rsidR="00855D07" w:rsidRPr="00F658E7" w:rsidRDefault="00855D07" w:rsidP="0012782C">
            <w:pPr>
              <w:jc w:val="right"/>
              <w:rPr>
                <w:rFonts w:ascii="Calibri" w:hAnsi="Calibri" w:cs="Calibri"/>
                <w:shd w:val="clear" w:color="auto" w:fill="FFFFFF"/>
              </w:rPr>
            </w:pPr>
            <w:r w:rsidRPr="00F658E7">
              <w:rPr>
                <w:rFonts w:ascii="Calibri" w:hAnsi="Calibri" w:cs="Calibri"/>
                <w:shd w:val="clear" w:color="auto" w:fill="FFFFFF"/>
              </w:rPr>
              <w:t>7.5%</w:t>
            </w:r>
          </w:p>
        </w:tc>
        <w:tc>
          <w:tcPr>
            <w:tcW w:w="779" w:type="dxa"/>
            <w:vAlign w:val="center"/>
          </w:tcPr>
          <w:p w14:paraId="63D8155C" w14:textId="77777777" w:rsidR="00855D07" w:rsidRPr="00F658E7" w:rsidRDefault="00855D07" w:rsidP="0012782C">
            <w:pPr>
              <w:jc w:val="right"/>
              <w:rPr>
                <w:rFonts w:ascii="Calibri" w:hAnsi="Calibri" w:cs="Calibri"/>
                <w:shd w:val="clear" w:color="auto" w:fill="FFFFFF"/>
              </w:rPr>
            </w:pPr>
            <w:r w:rsidRPr="00F658E7">
              <w:rPr>
                <w:rFonts w:ascii="Calibri" w:hAnsi="Calibri" w:cs="Calibri"/>
                <w:shd w:val="clear" w:color="auto" w:fill="FFFFFF"/>
              </w:rPr>
              <w:t>8.0%</w:t>
            </w:r>
          </w:p>
        </w:tc>
        <w:tc>
          <w:tcPr>
            <w:tcW w:w="780" w:type="dxa"/>
            <w:vAlign w:val="center"/>
          </w:tcPr>
          <w:p w14:paraId="73B85F4F" w14:textId="77777777" w:rsidR="00855D07" w:rsidRPr="00F658E7" w:rsidRDefault="00855D07" w:rsidP="0012782C">
            <w:pPr>
              <w:jc w:val="right"/>
              <w:rPr>
                <w:rFonts w:ascii="Calibri" w:hAnsi="Calibri" w:cs="Calibri"/>
                <w:shd w:val="clear" w:color="auto" w:fill="FFFFFF"/>
              </w:rPr>
            </w:pPr>
            <w:r w:rsidRPr="00F658E7">
              <w:rPr>
                <w:rFonts w:ascii="Calibri" w:hAnsi="Calibri" w:cs="Calibri"/>
                <w:shd w:val="clear" w:color="auto" w:fill="FFFFFF"/>
              </w:rPr>
              <w:t>8.4%</w:t>
            </w:r>
          </w:p>
        </w:tc>
        <w:tc>
          <w:tcPr>
            <w:tcW w:w="780" w:type="dxa"/>
            <w:vAlign w:val="center"/>
          </w:tcPr>
          <w:p w14:paraId="032D4154" w14:textId="77777777" w:rsidR="00855D07" w:rsidRPr="00F658E7" w:rsidRDefault="00855D07" w:rsidP="0012782C">
            <w:pPr>
              <w:jc w:val="right"/>
              <w:rPr>
                <w:rFonts w:ascii="Calibri" w:hAnsi="Calibri" w:cs="Calibri"/>
                <w:shd w:val="clear" w:color="auto" w:fill="FFFFFF"/>
              </w:rPr>
            </w:pPr>
            <w:r w:rsidRPr="00F658E7">
              <w:rPr>
                <w:rFonts w:ascii="Calibri" w:hAnsi="Calibri" w:cs="Calibri"/>
                <w:shd w:val="clear" w:color="auto" w:fill="FFFFFF"/>
              </w:rPr>
              <w:t>8.0%</w:t>
            </w:r>
          </w:p>
        </w:tc>
      </w:tr>
      <w:tr w:rsidR="005B4978" w:rsidRPr="00D910F0" w14:paraId="1D877BE8" w14:textId="77777777" w:rsidTr="00F658E7">
        <w:tc>
          <w:tcPr>
            <w:tcW w:w="2547" w:type="dxa"/>
          </w:tcPr>
          <w:p w14:paraId="1BF3E1FC" w14:textId="77777777" w:rsidR="00855D07" w:rsidRPr="00F658E7" w:rsidRDefault="00855D07" w:rsidP="0012782C">
            <w:pPr>
              <w:rPr>
                <w:rFonts w:ascii="Calibri" w:hAnsi="Calibri" w:cs="Calibri"/>
                <w:shd w:val="clear" w:color="auto" w:fill="FFFFFF"/>
              </w:rPr>
            </w:pPr>
            <w:r w:rsidRPr="00F658E7">
              <w:rPr>
                <w:rFonts w:ascii="Calibri" w:hAnsi="Calibri" w:cs="Calibri"/>
                <w:shd w:val="clear" w:color="auto" w:fill="FFFFFF"/>
              </w:rPr>
              <w:t>Male</w:t>
            </w:r>
          </w:p>
        </w:tc>
        <w:tc>
          <w:tcPr>
            <w:tcW w:w="779" w:type="dxa"/>
            <w:vAlign w:val="center"/>
          </w:tcPr>
          <w:p w14:paraId="76313392" w14:textId="77777777" w:rsidR="00855D07" w:rsidRPr="00F658E7" w:rsidRDefault="00855D07" w:rsidP="0012782C">
            <w:pPr>
              <w:jc w:val="right"/>
              <w:rPr>
                <w:rFonts w:ascii="Calibri" w:hAnsi="Calibri" w:cs="Calibri"/>
                <w:shd w:val="clear" w:color="auto" w:fill="FFFFFF"/>
              </w:rPr>
            </w:pPr>
            <w:r w:rsidRPr="00F658E7">
              <w:rPr>
                <w:rFonts w:ascii="Calibri" w:hAnsi="Calibri" w:cs="Calibri"/>
                <w:shd w:val="clear" w:color="auto" w:fill="FFFFFF"/>
              </w:rPr>
              <w:t>7.2%</w:t>
            </w:r>
          </w:p>
        </w:tc>
        <w:tc>
          <w:tcPr>
            <w:tcW w:w="780" w:type="dxa"/>
            <w:vAlign w:val="center"/>
          </w:tcPr>
          <w:p w14:paraId="58945CA0" w14:textId="77777777" w:rsidR="00855D07" w:rsidRPr="00F658E7" w:rsidRDefault="00855D07" w:rsidP="0012782C">
            <w:pPr>
              <w:jc w:val="right"/>
              <w:rPr>
                <w:rFonts w:ascii="Calibri" w:hAnsi="Calibri" w:cs="Calibri"/>
                <w:shd w:val="clear" w:color="auto" w:fill="FFFFFF"/>
              </w:rPr>
            </w:pPr>
            <w:r w:rsidRPr="00F658E7">
              <w:rPr>
                <w:rFonts w:ascii="Calibri" w:hAnsi="Calibri" w:cs="Calibri"/>
                <w:shd w:val="clear" w:color="auto" w:fill="FFFFFF"/>
              </w:rPr>
              <w:t>6.4%</w:t>
            </w:r>
          </w:p>
        </w:tc>
        <w:tc>
          <w:tcPr>
            <w:tcW w:w="780" w:type="dxa"/>
            <w:vAlign w:val="center"/>
          </w:tcPr>
          <w:p w14:paraId="4EB2583D" w14:textId="77777777" w:rsidR="00855D07" w:rsidRPr="00F658E7" w:rsidRDefault="00855D07" w:rsidP="0012782C">
            <w:pPr>
              <w:jc w:val="right"/>
              <w:rPr>
                <w:rFonts w:ascii="Calibri" w:hAnsi="Calibri" w:cs="Calibri"/>
                <w:shd w:val="clear" w:color="auto" w:fill="FFFFFF"/>
              </w:rPr>
            </w:pPr>
            <w:r w:rsidRPr="00F658E7">
              <w:rPr>
                <w:rFonts w:ascii="Calibri" w:hAnsi="Calibri" w:cs="Calibri"/>
                <w:shd w:val="clear" w:color="auto" w:fill="FFFFFF"/>
              </w:rPr>
              <w:t>6.1%</w:t>
            </w:r>
          </w:p>
        </w:tc>
        <w:tc>
          <w:tcPr>
            <w:tcW w:w="779" w:type="dxa"/>
            <w:vAlign w:val="center"/>
          </w:tcPr>
          <w:p w14:paraId="2AF00E81" w14:textId="77777777" w:rsidR="00855D07" w:rsidRPr="00F658E7" w:rsidRDefault="00855D07" w:rsidP="0012782C">
            <w:pPr>
              <w:jc w:val="right"/>
              <w:rPr>
                <w:rFonts w:ascii="Calibri" w:hAnsi="Calibri" w:cs="Calibri"/>
                <w:shd w:val="clear" w:color="auto" w:fill="FFFFFF"/>
              </w:rPr>
            </w:pPr>
            <w:r w:rsidRPr="00F658E7">
              <w:rPr>
                <w:rFonts w:ascii="Calibri" w:hAnsi="Calibri" w:cs="Calibri"/>
                <w:shd w:val="clear" w:color="auto" w:fill="FFFFFF"/>
              </w:rPr>
              <w:t>6.6%</w:t>
            </w:r>
          </w:p>
        </w:tc>
        <w:tc>
          <w:tcPr>
            <w:tcW w:w="780" w:type="dxa"/>
            <w:vAlign w:val="center"/>
          </w:tcPr>
          <w:p w14:paraId="56692562" w14:textId="77777777" w:rsidR="00855D07" w:rsidRPr="00F658E7" w:rsidRDefault="00855D07" w:rsidP="0012782C">
            <w:pPr>
              <w:jc w:val="right"/>
              <w:rPr>
                <w:rFonts w:ascii="Calibri" w:hAnsi="Calibri" w:cs="Calibri"/>
                <w:shd w:val="clear" w:color="auto" w:fill="FFFFFF"/>
              </w:rPr>
            </w:pPr>
            <w:r w:rsidRPr="00F658E7">
              <w:rPr>
                <w:rFonts w:ascii="Calibri" w:hAnsi="Calibri" w:cs="Calibri"/>
                <w:shd w:val="clear" w:color="auto" w:fill="FFFFFF"/>
              </w:rPr>
              <w:t>6.7%</w:t>
            </w:r>
          </w:p>
        </w:tc>
        <w:tc>
          <w:tcPr>
            <w:tcW w:w="780" w:type="dxa"/>
            <w:vAlign w:val="center"/>
          </w:tcPr>
          <w:p w14:paraId="1ACBF520" w14:textId="77777777" w:rsidR="00855D07" w:rsidRPr="00F658E7" w:rsidRDefault="00855D07" w:rsidP="0012782C">
            <w:pPr>
              <w:jc w:val="right"/>
              <w:rPr>
                <w:rFonts w:ascii="Calibri" w:hAnsi="Calibri" w:cs="Calibri"/>
                <w:shd w:val="clear" w:color="auto" w:fill="FFFFFF"/>
              </w:rPr>
            </w:pPr>
            <w:r w:rsidRPr="00F658E7">
              <w:rPr>
                <w:rFonts w:ascii="Calibri" w:hAnsi="Calibri" w:cs="Calibri"/>
                <w:shd w:val="clear" w:color="auto" w:fill="FFFFFF"/>
              </w:rPr>
              <w:t>6.6%</w:t>
            </w:r>
          </w:p>
        </w:tc>
      </w:tr>
      <w:tr w:rsidR="005B4978" w:rsidRPr="00D910F0" w14:paraId="777C02BF" w14:textId="77777777" w:rsidTr="00F658E7">
        <w:tc>
          <w:tcPr>
            <w:tcW w:w="2547" w:type="dxa"/>
          </w:tcPr>
          <w:p w14:paraId="71A93E5B" w14:textId="77777777" w:rsidR="00855D07" w:rsidRPr="00F658E7" w:rsidRDefault="00855D07" w:rsidP="0012782C">
            <w:pPr>
              <w:rPr>
                <w:rFonts w:ascii="Calibri" w:hAnsi="Calibri" w:cs="Calibri"/>
                <w:shd w:val="clear" w:color="auto" w:fill="FFFFFF"/>
              </w:rPr>
            </w:pPr>
            <w:r w:rsidRPr="00F658E7">
              <w:rPr>
                <w:rFonts w:ascii="Calibri" w:hAnsi="Calibri" w:cs="Calibri"/>
                <w:shd w:val="clear" w:color="auto" w:fill="FFFFFF"/>
              </w:rPr>
              <w:t>Gender Diverse</w:t>
            </w:r>
          </w:p>
        </w:tc>
        <w:tc>
          <w:tcPr>
            <w:tcW w:w="779" w:type="dxa"/>
            <w:vAlign w:val="center"/>
          </w:tcPr>
          <w:p w14:paraId="04CA296A" w14:textId="3067D541" w:rsidR="00855D07" w:rsidRPr="00F658E7" w:rsidRDefault="00A15EE1" w:rsidP="0012782C">
            <w:pPr>
              <w:jc w:val="right"/>
              <w:rPr>
                <w:rFonts w:ascii="Calibri" w:hAnsi="Calibri" w:cs="Calibri"/>
                <w:shd w:val="clear" w:color="auto" w:fill="FFFFFF"/>
              </w:rPr>
            </w:pPr>
            <w:r>
              <w:rPr>
                <w:rFonts w:ascii="Calibri" w:hAnsi="Calibri" w:cs="Calibri"/>
                <w:shd w:val="clear" w:color="auto" w:fill="FFFFFF"/>
              </w:rPr>
              <w:t>-</w:t>
            </w:r>
          </w:p>
        </w:tc>
        <w:tc>
          <w:tcPr>
            <w:tcW w:w="780" w:type="dxa"/>
            <w:vAlign w:val="center"/>
          </w:tcPr>
          <w:p w14:paraId="5AA380D4" w14:textId="066545B0" w:rsidR="00855D07" w:rsidRPr="00F658E7" w:rsidRDefault="00A15EE1" w:rsidP="0012782C">
            <w:pPr>
              <w:jc w:val="right"/>
              <w:rPr>
                <w:rFonts w:ascii="Calibri" w:hAnsi="Calibri" w:cs="Calibri"/>
                <w:shd w:val="clear" w:color="auto" w:fill="FFFFFF"/>
              </w:rPr>
            </w:pPr>
            <w:r>
              <w:rPr>
                <w:rFonts w:ascii="Calibri" w:hAnsi="Calibri" w:cs="Calibri"/>
                <w:shd w:val="clear" w:color="auto" w:fill="FFFFFF"/>
              </w:rPr>
              <w:t>-</w:t>
            </w:r>
          </w:p>
        </w:tc>
        <w:tc>
          <w:tcPr>
            <w:tcW w:w="780" w:type="dxa"/>
            <w:vAlign w:val="center"/>
          </w:tcPr>
          <w:p w14:paraId="4D921D21" w14:textId="77777777" w:rsidR="00855D07" w:rsidRPr="00F658E7" w:rsidRDefault="00855D07" w:rsidP="0012782C">
            <w:pPr>
              <w:jc w:val="right"/>
              <w:rPr>
                <w:rFonts w:ascii="Calibri" w:hAnsi="Calibri" w:cs="Calibri"/>
                <w:shd w:val="clear" w:color="auto" w:fill="FFFFFF"/>
              </w:rPr>
            </w:pPr>
            <w:r w:rsidRPr="00F658E7">
              <w:rPr>
                <w:rFonts w:ascii="Calibri" w:hAnsi="Calibri" w:cs="Calibri"/>
                <w:shd w:val="clear" w:color="auto" w:fill="FFFFFF"/>
              </w:rPr>
              <w:t>20%</w:t>
            </w:r>
          </w:p>
        </w:tc>
        <w:tc>
          <w:tcPr>
            <w:tcW w:w="779" w:type="dxa"/>
            <w:vAlign w:val="center"/>
          </w:tcPr>
          <w:p w14:paraId="79746C34" w14:textId="77777777" w:rsidR="00855D07" w:rsidRPr="00F658E7" w:rsidRDefault="00855D07" w:rsidP="0012782C">
            <w:pPr>
              <w:jc w:val="right"/>
              <w:rPr>
                <w:rFonts w:ascii="Calibri" w:hAnsi="Calibri" w:cs="Calibri"/>
                <w:shd w:val="clear" w:color="auto" w:fill="FFFFFF"/>
              </w:rPr>
            </w:pPr>
            <w:r w:rsidRPr="00F658E7">
              <w:rPr>
                <w:rFonts w:ascii="Calibri" w:hAnsi="Calibri" w:cs="Calibri"/>
                <w:shd w:val="clear" w:color="auto" w:fill="FFFFFF"/>
              </w:rPr>
              <w:t>25%</w:t>
            </w:r>
          </w:p>
        </w:tc>
        <w:tc>
          <w:tcPr>
            <w:tcW w:w="780" w:type="dxa"/>
            <w:vAlign w:val="center"/>
          </w:tcPr>
          <w:p w14:paraId="0267F258" w14:textId="77777777" w:rsidR="00855D07" w:rsidRPr="00F658E7" w:rsidRDefault="00855D07" w:rsidP="0012782C">
            <w:pPr>
              <w:jc w:val="right"/>
              <w:rPr>
                <w:rFonts w:ascii="Calibri" w:hAnsi="Calibri" w:cs="Calibri"/>
                <w:shd w:val="clear" w:color="auto" w:fill="FFFFFF"/>
              </w:rPr>
            </w:pPr>
            <w:r w:rsidRPr="00F658E7">
              <w:rPr>
                <w:rFonts w:ascii="Calibri" w:hAnsi="Calibri" w:cs="Calibri"/>
                <w:shd w:val="clear" w:color="auto" w:fill="FFFFFF"/>
              </w:rPr>
              <w:t>41%</w:t>
            </w:r>
          </w:p>
        </w:tc>
        <w:tc>
          <w:tcPr>
            <w:tcW w:w="780" w:type="dxa"/>
            <w:vAlign w:val="center"/>
          </w:tcPr>
          <w:p w14:paraId="68C8B95D" w14:textId="77777777" w:rsidR="00855D07" w:rsidRPr="00F658E7" w:rsidRDefault="00855D07" w:rsidP="0012782C">
            <w:pPr>
              <w:jc w:val="right"/>
              <w:rPr>
                <w:rFonts w:ascii="Calibri" w:hAnsi="Calibri" w:cs="Calibri"/>
                <w:shd w:val="clear" w:color="auto" w:fill="FFFFFF"/>
              </w:rPr>
            </w:pPr>
            <w:r w:rsidRPr="00F658E7">
              <w:rPr>
                <w:rFonts w:ascii="Calibri" w:hAnsi="Calibri" w:cs="Calibri"/>
                <w:shd w:val="clear" w:color="auto" w:fill="FFFFFF"/>
              </w:rPr>
              <w:t>27%</w:t>
            </w:r>
          </w:p>
        </w:tc>
      </w:tr>
    </w:tbl>
    <w:p w14:paraId="02F8ACF1" w14:textId="77777777" w:rsidR="00855D07" w:rsidRPr="00F658E7" w:rsidRDefault="00855D07" w:rsidP="0012782C">
      <w:pPr>
        <w:spacing w:after="0" w:line="240" w:lineRule="auto"/>
        <w:rPr>
          <w:rFonts w:ascii="Calibri" w:hAnsi="Calibri" w:cs="Calibri"/>
          <w:b/>
          <w:bCs/>
          <w:shd w:val="clear" w:color="auto" w:fill="FFFFFF"/>
        </w:rPr>
      </w:pPr>
    </w:p>
    <w:p w14:paraId="4150C176" w14:textId="0ACBED4C" w:rsidR="00855D07" w:rsidRPr="00D910F0" w:rsidRDefault="00855D07" w:rsidP="0012782C">
      <w:pPr>
        <w:spacing w:after="0" w:line="240" w:lineRule="auto"/>
        <w:rPr>
          <w:rFonts w:ascii="Calibri" w:eastAsia="Times New Roman" w:hAnsi="Calibri" w:cs="Calibri"/>
        </w:rPr>
      </w:pPr>
      <w:r w:rsidRPr="00F658E7">
        <w:rPr>
          <w:rFonts w:ascii="Calibri" w:hAnsi="Calibri" w:cs="Calibri"/>
          <w:shd w:val="clear" w:color="auto" w:fill="FFFFFF"/>
        </w:rPr>
        <w:t xml:space="preserve">As Table 3 indicates, a slightly higher proportion of female students reported a disability than male students. </w:t>
      </w:r>
      <w:r w:rsidRPr="00665B84">
        <w:rPr>
          <w:rFonts w:ascii="Calibri" w:eastAsia="Times New Roman" w:hAnsi="Calibri" w:cs="Calibri"/>
        </w:rPr>
        <w:t xml:space="preserve">This is of interest as in the general population in New Zealand aged between 15 – 44 years, disability is experienced at a higher rate in the male population (44%) than the female population (39%) (NZ Stats). Of interest in this table is the high proportion of students who identify as gender diverse reporting a disability </w:t>
      </w:r>
      <w:r w:rsidRPr="00D910F0">
        <w:rPr>
          <w:rFonts w:ascii="Calibri" w:eastAsia="Times New Roman" w:hAnsi="Calibri" w:cs="Calibri"/>
        </w:rPr>
        <w:t>which reflects an intersecting experience of gender diversity and disability in the student population that needs to be acknowledged and responded to.</w:t>
      </w:r>
    </w:p>
    <w:p w14:paraId="56ADAEC1" w14:textId="3229829C" w:rsidR="00855D07" w:rsidRPr="00F658E7" w:rsidRDefault="00855D07" w:rsidP="0012782C">
      <w:pPr>
        <w:spacing w:after="0" w:line="240" w:lineRule="auto"/>
        <w:rPr>
          <w:rFonts w:ascii="Calibri" w:hAnsi="Calibri" w:cs="Calibri"/>
          <w:b/>
          <w:bCs/>
          <w:shd w:val="clear" w:color="auto" w:fill="FFFFFF"/>
        </w:rPr>
      </w:pPr>
    </w:p>
    <w:p w14:paraId="2D7FBF56" w14:textId="188151CF" w:rsidR="00013FDC" w:rsidRPr="00F658E7" w:rsidRDefault="00013FDC" w:rsidP="0012782C">
      <w:pPr>
        <w:spacing w:after="0" w:line="240" w:lineRule="auto"/>
        <w:rPr>
          <w:rFonts w:ascii="Calibri" w:hAnsi="Calibri" w:cs="Calibri"/>
          <w:b/>
          <w:bCs/>
          <w:shd w:val="clear" w:color="auto" w:fill="FFFFFF"/>
        </w:rPr>
      </w:pPr>
      <w:r w:rsidRPr="00F658E7">
        <w:rPr>
          <w:rFonts w:ascii="Calibri" w:hAnsi="Calibri" w:cs="Calibri"/>
          <w:b/>
          <w:bCs/>
          <w:shd w:val="clear" w:color="auto" w:fill="FFFFFF"/>
        </w:rPr>
        <w:t xml:space="preserve">TABLE </w:t>
      </w:r>
      <w:r w:rsidR="00855D07" w:rsidRPr="00F658E7">
        <w:rPr>
          <w:rFonts w:ascii="Calibri" w:hAnsi="Calibri" w:cs="Calibri"/>
          <w:b/>
          <w:bCs/>
          <w:shd w:val="clear" w:color="auto" w:fill="FFFFFF"/>
        </w:rPr>
        <w:t>4</w:t>
      </w:r>
      <w:r w:rsidRPr="00F658E7">
        <w:rPr>
          <w:rFonts w:ascii="Calibri" w:hAnsi="Calibri" w:cs="Calibri"/>
          <w:b/>
          <w:bCs/>
          <w:shd w:val="clear" w:color="auto" w:fill="FFFFFF"/>
        </w:rPr>
        <w:t>: Gender breakdown of students reporting a disability</w:t>
      </w:r>
    </w:p>
    <w:p w14:paraId="0D7B430D" w14:textId="77777777" w:rsidR="00013FDC" w:rsidRPr="00F658E7" w:rsidRDefault="00013FDC" w:rsidP="0012782C">
      <w:pPr>
        <w:spacing w:after="0" w:line="240" w:lineRule="auto"/>
        <w:rPr>
          <w:rFonts w:ascii="Calibri" w:hAnsi="Calibri" w:cs="Calibri"/>
          <w:shd w:val="clear" w:color="auto" w:fill="FFFFFF"/>
        </w:rPr>
      </w:pPr>
    </w:p>
    <w:tbl>
      <w:tblPr>
        <w:tblStyle w:val="TableGrid"/>
        <w:tblW w:w="0" w:type="auto"/>
        <w:tblLook w:val="04A0" w:firstRow="1" w:lastRow="0" w:firstColumn="1" w:lastColumn="0" w:noHBand="0" w:noVBand="1"/>
      </w:tblPr>
      <w:tblGrid>
        <w:gridCol w:w="2547"/>
        <w:gridCol w:w="812"/>
        <w:gridCol w:w="813"/>
        <w:gridCol w:w="812"/>
        <w:gridCol w:w="813"/>
        <w:gridCol w:w="812"/>
        <w:gridCol w:w="813"/>
      </w:tblGrid>
      <w:tr w:rsidR="005B4978" w:rsidRPr="00D910F0" w14:paraId="2476F187" w14:textId="77777777" w:rsidTr="00F658E7">
        <w:tc>
          <w:tcPr>
            <w:tcW w:w="2547" w:type="dxa"/>
          </w:tcPr>
          <w:p w14:paraId="067BD017" w14:textId="77777777" w:rsidR="00013FDC" w:rsidRPr="00F658E7" w:rsidRDefault="00013FDC" w:rsidP="0012782C">
            <w:pPr>
              <w:rPr>
                <w:rFonts w:ascii="Calibri" w:hAnsi="Calibri" w:cs="Calibri"/>
                <w:shd w:val="clear" w:color="auto" w:fill="FFFFFF"/>
              </w:rPr>
            </w:pPr>
          </w:p>
        </w:tc>
        <w:tc>
          <w:tcPr>
            <w:tcW w:w="812" w:type="dxa"/>
          </w:tcPr>
          <w:p w14:paraId="56EAC138" w14:textId="38447963" w:rsidR="00013FDC" w:rsidRPr="00F658E7" w:rsidRDefault="00013FDC" w:rsidP="0012782C">
            <w:pPr>
              <w:jc w:val="center"/>
              <w:rPr>
                <w:rFonts w:ascii="Calibri" w:hAnsi="Calibri" w:cs="Calibri"/>
                <w:b/>
                <w:bCs/>
                <w:shd w:val="clear" w:color="auto" w:fill="FFFFFF"/>
              </w:rPr>
            </w:pPr>
            <w:r w:rsidRPr="00F658E7">
              <w:rPr>
                <w:rFonts w:ascii="Calibri" w:hAnsi="Calibri" w:cs="Calibri"/>
                <w:b/>
                <w:bCs/>
                <w:shd w:val="clear" w:color="auto" w:fill="FFFFFF"/>
              </w:rPr>
              <w:t>2017</w:t>
            </w:r>
          </w:p>
        </w:tc>
        <w:tc>
          <w:tcPr>
            <w:tcW w:w="813" w:type="dxa"/>
          </w:tcPr>
          <w:p w14:paraId="07036A66" w14:textId="109FAA10" w:rsidR="00013FDC" w:rsidRPr="00F658E7" w:rsidRDefault="00013FDC" w:rsidP="0012782C">
            <w:pPr>
              <w:jc w:val="center"/>
              <w:rPr>
                <w:rFonts w:ascii="Calibri" w:hAnsi="Calibri" w:cs="Calibri"/>
                <w:b/>
                <w:bCs/>
                <w:shd w:val="clear" w:color="auto" w:fill="FFFFFF"/>
              </w:rPr>
            </w:pPr>
            <w:r w:rsidRPr="00F658E7">
              <w:rPr>
                <w:rFonts w:ascii="Calibri" w:hAnsi="Calibri" w:cs="Calibri"/>
                <w:b/>
                <w:bCs/>
                <w:shd w:val="clear" w:color="auto" w:fill="FFFFFF"/>
              </w:rPr>
              <w:t>2018</w:t>
            </w:r>
          </w:p>
        </w:tc>
        <w:tc>
          <w:tcPr>
            <w:tcW w:w="812" w:type="dxa"/>
          </w:tcPr>
          <w:p w14:paraId="2915717F" w14:textId="4337E478" w:rsidR="00013FDC" w:rsidRPr="00F658E7" w:rsidRDefault="00013FDC" w:rsidP="0012782C">
            <w:pPr>
              <w:jc w:val="center"/>
              <w:rPr>
                <w:rFonts w:ascii="Calibri" w:hAnsi="Calibri" w:cs="Calibri"/>
                <w:b/>
                <w:bCs/>
                <w:shd w:val="clear" w:color="auto" w:fill="FFFFFF"/>
              </w:rPr>
            </w:pPr>
            <w:r w:rsidRPr="00F658E7">
              <w:rPr>
                <w:rFonts w:ascii="Calibri" w:hAnsi="Calibri" w:cs="Calibri"/>
                <w:b/>
                <w:bCs/>
                <w:shd w:val="clear" w:color="auto" w:fill="FFFFFF"/>
              </w:rPr>
              <w:t>2019</w:t>
            </w:r>
          </w:p>
        </w:tc>
        <w:tc>
          <w:tcPr>
            <w:tcW w:w="813" w:type="dxa"/>
          </w:tcPr>
          <w:p w14:paraId="36AFCF95" w14:textId="74950DC3" w:rsidR="00013FDC" w:rsidRPr="00F658E7" w:rsidRDefault="00013FDC" w:rsidP="0012782C">
            <w:pPr>
              <w:jc w:val="center"/>
              <w:rPr>
                <w:rFonts w:ascii="Calibri" w:hAnsi="Calibri" w:cs="Calibri"/>
                <w:b/>
                <w:bCs/>
                <w:shd w:val="clear" w:color="auto" w:fill="FFFFFF"/>
              </w:rPr>
            </w:pPr>
            <w:r w:rsidRPr="00F658E7">
              <w:rPr>
                <w:rFonts w:ascii="Calibri" w:hAnsi="Calibri" w:cs="Calibri"/>
                <w:b/>
                <w:bCs/>
                <w:shd w:val="clear" w:color="auto" w:fill="FFFFFF"/>
              </w:rPr>
              <w:t>2020</w:t>
            </w:r>
          </w:p>
        </w:tc>
        <w:tc>
          <w:tcPr>
            <w:tcW w:w="812" w:type="dxa"/>
          </w:tcPr>
          <w:p w14:paraId="11BB54AF" w14:textId="0E0B68FD" w:rsidR="00013FDC" w:rsidRPr="00F658E7" w:rsidRDefault="00013FDC" w:rsidP="0012782C">
            <w:pPr>
              <w:jc w:val="center"/>
              <w:rPr>
                <w:rFonts w:ascii="Calibri" w:hAnsi="Calibri" w:cs="Calibri"/>
                <w:b/>
                <w:bCs/>
                <w:shd w:val="clear" w:color="auto" w:fill="FFFFFF"/>
              </w:rPr>
            </w:pPr>
            <w:r w:rsidRPr="00F658E7">
              <w:rPr>
                <w:rFonts w:ascii="Calibri" w:hAnsi="Calibri" w:cs="Calibri"/>
                <w:b/>
                <w:bCs/>
                <w:shd w:val="clear" w:color="auto" w:fill="FFFFFF"/>
              </w:rPr>
              <w:t>2021</w:t>
            </w:r>
          </w:p>
        </w:tc>
        <w:tc>
          <w:tcPr>
            <w:tcW w:w="813" w:type="dxa"/>
          </w:tcPr>
          <w:p w14:paraId="5AAC70F9" w14:textId="25E0931D" w:rsidR="00013FDC" w:rsidRPr="00F658E7" w:rsidRDefault="00013FDC" w:rsidP="0012782C">
            <w:pPr>
              <w:jc w:val="center"/>
              <w:rPr>
                <w:rFonts w:ascii="Calibri" w:hAnsi="Calibri" w:cs="Calibri"/>
                <w:b/>
                <w:bCs/>
                <w:shd w:val="clear" w:color="auto" w:fill="FFFFFF"/>
              </w:rPr>
            </w:pPr>
            <w:r w:rsidRPr="00F658E7">
              <w:rPr>
                <w:rFonts w:ascii="Calibri" w:hAnsi="Calibri" w:cs="Calibri"/>
                <w:b/>
                <w:bCs/>
                <w:shd w:val="clear" w:color="auto" w:fill="FFFFFF"/>
              </w:rPr>
              <w:t>2022</w:t>
            </w:r>
            <w:r w:rsidR="009F2B55" w:rsidRPr="00520A86">
              <w:rPr>
                <w:rFonts w:ascii="Calibri" w:eastAsia="Times New Roman" w:hAnsi="Calibri" w:cs="Calibri"/>
                <w:b/>
                <w:bCs/>
              </w:rPr>
              <w:t>*</w:t>
            </w:r>
          </w:p>
        </w:tc>
      </w:tr>
      <w:tr w:rsidR="005B4978" w:rsidRPr="00D910F0" w14:paraId="30C6B9D5" w14:textId="77777777" w:rsidTr="00F658E7">
        <w:tc>
          <w:tcPr>
            <w:tcW w:w="2547" w:type="dxa"/>
          </w:tcPr>
          <w:p w14:paraId="021C7F32" w14:textId="4C016FE7" w:rsidR="00013FDC" w:rsidRPr="00F658E7" w:rsidRDefault="00013FDC" w:rsidP="0012782C">
            <w:pPr>
              <w:rPr>
                <w:rFonts w:ascii="Calibri" w:hAnsi="Calibri" w:cs="Calibri"/>
                <w:shd w:val="clear" w:color="auto" w:fill="FFFFFF"/>
              </w:rPr>
            </w:pPr>
            <w:r w:rsidRPr="00F658E7">
              <w:rPr>
                <w:rFonts w:ascii="Calibri" w:hAnsi="Calibri" w:cs="Calibri"/>
                <w:shd w:val="clear" w:color="auto" w:fill="FFFFFF"/>
              </w:rPr>
              <w:t>Female</w:t>
            </w:r>
          </w:p>
        </w:tc>
        <w:tc>
          <w:tcPr>
            <w:tcW w:w="812" w:type="dxa"/>
            <w:vAlign w:val="center"/>
          </w:tcPr>
          <w:p w14:paraId="1A4848A7" w14:textId="0D5BC0B5" w:rsidR="00013FDC" w:rsidRPr="00F658E7" w:rsidRDefault="00013FDC" w:rsidP="0012782C">
            <w:pPr>
              <w:jc w:val="right"/>
              <w:rPr>
                <w:rFonts w:ascii="Calibri" w:hAnsi="Calibri" w:cs="Calibri"/>
                <w:shd w:val="clear" w:color="auto" w:fill="FFFFFF"/>
              </w:rPr>
            </w:pPr>
            <w:r w:rsidRPr="00F658E7">
              <w:rPr>
                <w:rFonts w:ascii="Calibri" w:hAnsi="Calibri" w:cs="Calibri"/>
                <w:shd w:val="clear" w:color="auto" w:fill="FFFFFF"/>
              </w:rPr>
              <w:t>58.5%</w:t>
            </w:r>
          </w:p>
        </w:tc>
        <w:tc>
          <w:tcPr>
            <w:tcW w:w="813" w:type="dxa"/>
            <w:vAlign w:val="center"/>
          </w:tcPr>
          <w:p w14:paraId="6217FDF1" w14:textId="79D58C69" w:rsidR="00013FDC" w:rsidRPr="00F658E7" w:rsidRDefault="00013FDC" w:rsidP="0012782C">
            <w:pPr>
              <w:jc w:val="right"/>
              <w:rPr>
                <w:rFonts w:ascii="Calibri" w:hAnsi="Calibri" w:cs="Calibri"/>
                <w:shd w:val="clear" w:color="auto" w:fill="FFFFFF"/>
              </w:rPr>
            </w:pPr>
            <w:r w:rsidRPr="00F658E7">
              <w:rPr>
                <w:rFonts w:ascii="Calibri" w:hAnsi="Calibri" w:cs="Calibri"/>
                <w:shd w:val="clear" w:color="auto" w:fill="FFFFFF"/>
              </w:rPr>
              <w:t>61.2%</w:t>
            </w:r>
          </w:p>
        </w:tc>
        <w:tc>
          <w:tcPr>
            <w:tcW w:w="812" w:type="dxa"/>
            <w:vAlign w:val="center"/>
          </w:tcPr>
          <w:p w14:paraId="4D75FE23" w14:textId="4DB5CB81" w:rsidR="00013FDC" w:rsidRPr="00F658E7" w:rsidRDefault="00013FDC" w:rsidP="0012782C">
            <w:pPr>
              <w:jc w:val="right"/>
              <w:rPr>
                <w:rFonts w:ascii="Calibri" w:hAnsi="Calibri" w:cs="Calibri"/>
                <w:shd w:val="clear" w:color="auto" w:fill="FFFFFF"/>
              </w:rPr>
            </w:pPr>
            <w:r w:rsidRPr="00F658E7">
              <w:rPr>
                <w:rFonts w:ascii="Calibri" w:hAnsi="Calibri" w:cs="Calibri"/>
                <w:shd w:val="clear" w:color="auto" w:fill="FFFFFF"/>
              </w:rPr>
              <w:t>63.0%</w:t>
            </w:r>
          </w:p>
        </w:tc>
        <w:tc>
          <w:tcPr>
            <w:tcW w:w="813" w:type="dxa"/>
            <w:vAlign w:val="center"/>
          </w:tcPr>
          <w:p w14:paraId="42A35AA8" w14:textId="6B77E06C" w:rsidR="00013FDC" w:rsidRPr="00F658E7" w:rsidRDefault="00013FDC" w:rsidP="0012782C">
            <w:pPr>
              <w:jc w:val="right"/>
              <w:rPr>
                <w:rFonts w:ascii="Calibri" w:hAnsi="Calibri" w:cs="Calibri"/>
                <w:shd w:val="clear" w:color="auto" w:fill="FFFFFF"/>
              </w:rPr>
            </w:pPr>
            <w:r w:rsidRPr="00F658E7">
              <w:rPr>
                <w:rFonts w:ascii="Calibri" w:hAnsi="Calibri" w:cs="Calibri"/>
                <w:shd w:val="clear" w:color="auto" w:fill="FFFFFF"/>
              </w:rPr>
              <w:t>63.4%</w:t>
            </w:r>
          </w:p>
        </w:tc>
        <w:tc>
          <w:tcPr>
            <w:tcW w:w="812" w:type="dxa"/>
            <w:vAlign w:val="center"/>
          </w:tcPr>
          <w:p w14:paraId="0FD9C5FC" w14:textId="70E904A3" w:rsidR="00013FDC" w:rsidRPr="00F658E7" w:rsidRDefault="00013FDC" w:rsidP="0012782C">
            <w:pPr>
              <w:jc w:val="right"/>
              <w:rPr>
                <w:rFonts w:ascii="Calibri" w:hAnsi="Calibri" w:cs="Calibri"/>
                <w:shd w:val="clear" w:color="auto" w:fill="FFFFFF"/>
              </w:rPr>
            </w:pPr>
            <w:r w:rsidRPr="00F658E7">
              <w:rPr>
                <w:rFonts w:ascii="Calibri" w:hAnsi="Calibri" w:cs="Calibri"/>
                <w:shd w:val="clear" w:color="auto" w:fill="FFFFFF"/>
              </w:rPr>
              <w:t>65.7%</w:t>
            </w:r>
          </w:p>
        </w:tc>
        <w:tc>
          <w:tcPr>
            <w:tcW w:w="813" w:type="dxa"/>
            <w:vAlign w:val="center"/>
          </w:tcPr>
          <w:p w14:paraId="308D1E0E" w14:textId="726287DE" w:rsidR="00013FDC" w:rsidRPr="00F658E7" w:rsidRDefault="00013FDC" w:rsidP="0012782C">
            <w:pPr>
              <w:jc w:val="right"/>
              <w:rPr>
                <w:rFonts w:ascii="Calibri" w:hAnsi="Calibri" w:cs="Calibri"/>
                <w:shd w:val="clear" w:color="auto" w:fill="FFFFFF"/>
              </w:rPr>
            </w:pPr>
            <w:r w:rsidRPr="00F658E7">
              <w:rPr>
                <w:rFonts w:ascii="Calibri" w:hAnsi="Calibri" w:cs="Calibri"/>
                <w:shd w:val="clear" w:color="auto" w:fill="FFFFFF"/>
              </w:rPr>
              <w:t>65.3%</w:t>
            </w:r>
          </w:p>
        </w:tc>
      </w:tr>
      <w:tr w:rsidR="005B4978" w:rsidRPr="00D910F0" w14:paraId="02A56F98" w14:textId="77777777" w:rsidTr="00F658E7">
        <w:tc>
          <w:tcPr>
            <w:tcW w:w="2547" w:type="dxa"/>
          </w:tcPr>
          <w:p w14:paraId="52D3E370" w14:textId="526A41A3" w:rsidR="00013FDC" w:rsidRPr="00F658E7" w:rsidRDefault="00013FDC" w:rsidP="0012782C">
            <w:pPr>
              <w:rPr>
                <w:rFonts w:ascii="Calibri" w:hAnsi="Calibri" w:cs="Calibri"/>
                <w:shd w:val="clear" w:color="auto" w:fill="FFFFFF"/>
              </w:rPr>
            </w:pPr>
            <w:r w:rsidRPr="00F658E7">
              <w:rPr>
                <w:rFonts w:ascii="Calibri" w:hAnsi="Calibri" w:cs="Calibri"/>
                <w:shd w:val="clear" w:color="auto" w:fill="FFFFFF"/>
              </w:rPr>
              <w:t>Male</w:t>
            </w:r>
          </w:p>
        </w:tc>
        <w:tc>
          <w:tcPr>
            <w:tcW w:w="812" w:type="dxa"/>
            <w:vAlign w:val="center"/>
          </w:tcPr>
          <w:p w14:paraId="25C92F55" w14:textId="4C0ED794" w:rsidR="00013FDC" w:rsidRPr="00F658E7" w:rsidRDefault="00013FDC" w:rsidP="0012782C">
            <w:pPr>
              <w:jc w:val="right"/>
              <w:rPr>
                <w:rFonts w:ascii="Calibri" w:hAnsi="Calibri" w:cs="Calibri"/>
                <w:shd w:val="clear" w:color="auto" w:fill="FFFFFF"/>
              </w:rPr>
            </w:pPr>
            <w:r w:rsidRPr="00F658E7">
              <w:rPr>
                <w:rFonts w:ascii="Calibri" w:hAnsi="Calibri" w:cs="Calibri"/>
                <w:shd w:val="clear" w:color="auto" w:fill="FFFFFF"/>
              </w:rPr>
              <w:t>41.4%</w:t>
            </w:r>
          </w:p>
        </w:tc>
        <w:tc>
          <w:tcPr>
            <w:tcW w:w="813" w:type="dxa"/>
            <w:vAlign w:val="center"/>
          </w:tcPr>
          <w:p w14:paraId="32299C15" w14:textId="0CDCAFAB" w:rsidR="00013FDC" w:rsidRPr="00F658E7" w:rsidRDefault="00013FDC" w:rsidP="0012782C">
            <w:pPr>
              <w:jc w:val="right"/>
              <w:rPr>
                <w:rFonts w:ascii="Calibri" w:hAnsi="Calibri" w:cs="Calibri"/>
                <w:shd w:val="clear" w:color="auto" w:fill="FFFFFF"/>
              </w:rPr>
            </w:pPr>
            <w:r w:rsidRPr="00F658E7">
              <w:rPr>
                <w:rFonts w:ascii="Calibri" w:hAnsi="Calibri" w:cs="Calibri"/>
                <w:shd w:val="clear" w:color="auto" w:fill="FFFFFF"/>
              </w:rPr>
              <w:t>38.7%</w:t>
            </w:r>
          </w:p>
        </w:tc>
        <w:tc>
          <w:tcPr>
            <w:tcW w:w="812" w:type="dxa"/>
            <w:vAlign w:val="center"/>
          </w:tcPr>
          <w:p w14:paraId="0155A10F" w14:textId="72FF18C0" w:rsidR="00013FDC" w:rsidRPr="00F658E7" w:rsidRDefault="00013FDC" w:rsidP="0012782C">
            <w:pPr>
              <w:jc w:val="right"/>
              <w:rPr>
                <w:rFonts w:ascii="Calibri" w:hAnsi="Calibri" w:cs="Calibri"/>
                <w:shd w:val="clear" w:color="auto" w:fill="FFFFFF"/>
              </w:rPr>
            </w:pPr>
            <w:r w:rsidRPr="00F658E7">
              <w:rPr>
                <w:rFonts w:ascii="Calibri" w:hAnsi="Calibri" w:cs="Calibri"/>
                <w:shd w:val="clear" w:color="auto" w:fill="FFFFFF"/>
              </w:rPr>
              <w:t>36.9%</w:t>
            </w:r>
          </w:p>
        </w:tc>
        <w:tc>
          <w:tcPr>
            <w:tcW w:w="813" w:type="dxa"/>
            <w:vAlign w:val="center"/>
          </w:tcPr>
          <w:p w14:paraId="4D105E3E" w14:textId="62734A70" w:rsidR="00013FDC" w:rsidRPr="00F658E7" w:rsidRDefault="00013FDC" w:rsidP="0012782C">
            <w:pPr>
              <w:jc w:val="right"/>
              <w:rPr>
                <w:rFonts w:ascii="Calibri" w:hAnsi="Calibri" w:cs="Calibri"/>
                <w:shd w:val="clear" w:color="auto" w:fill="FFFFFF"/>
              </w:rPr>
            </w:pPr>
            <w:r w:rsidRPr="00F658E7">
              <w:rPr>
                <w:rFonts w:ascii="Calibri" w:hAnsi="Calibri" w:cs="Calibri"/>
                <w:shd w:val="clear" w:color="auto" w:fill="FFFFFF"/>
              </w:rPr>
              <w:t>36.3%</w:t>
            </w:r>
          </w:p>
        </w:tc>
        <w:tc>
          <w:tcPr>
            <w:tcW w:w="812" w:type="dxa"/>
            <w:vAlign w:val="center"/>
          </w:tcPr>
          <w:p w14:paraId="07FC474C" w14:textId="0CAC179C" w:rsidR="00013FDC" w:rsidRPr="00F658E7" w:rsidRDefault="00013FDC" w:rsidP="0012782C">
            <w:pPr>
              <w:jc w:val="right"/>
              <w:rPr>
                <w:rFonts w:ascii="Calibri" w:hAnsi="Calibri" w:cs="Calibri"/>
                <w:shd w:val="clear" w:color="auto" w:fill="FFFFFF"/>
              </w:rPr>
            </w:pPr>
            <w:r w:rsidRPr="00F658E7">
              <w:rPr>
                <w:rFonts w:ascii="Calibri" w:hAnsi="Calibri" w:cs="Calibri"/>
                <w:shd w:val="clear" w:color="auto" w:fill="FFFFFF"/>
              </w:rPr>
              <w:t>33.5%</w:t>
            </w:r>
          </w:p>
        </w:tc>
        <w:tc>
          <w:tcPr>
            <w:tcW w:w="813" w:type="dxa"/>
            <w:vAlign w:val="center"/>
          </w:tcPr>
          <w:p w14:paraId="7447D438" w14:textId="0082CF61" w:rsidR="00013FDC" w:rsidRPr="00F658E7" w:rsidRDefault="00013FDC" w:rsidP="0012782C">
            <w:pPr>
              <w:jc w:val="right"/>
              <w:rPr>
                <w:rFonts w:ascii="Calibri" w:hAnsi="Calibri" w:cs="Calibri"/>
                <w:shd w:val="clear" w:color="auto" w:fill="FFFFFF"/>
              </w:rPr>
            </w:pPr>
            <w:r w:rsidRPr="00F658E7">
              <w:rPr>
                <w:rFonts w:ascii="Calibri" w:hAnsi="Calibri" w:cs="Calibri"/>
                <w:shd w:val="clear" w:color="auto" w:fill="FFFFFF"/>
              </w:rPr>
              <w:t>33.7%</w:t>
            </w:r>
          </w:p>
        </w:tc>
      </w:tr>
      <w:tr w:rsidR="005B4978" w:rsidRPr="00D910F0" w14:paraId="080E3EE0" w14:textId="77777777" w:rsidTr="00F658E7">
        <w:tc>
          <w:tcPr>
            <w:tcW w:w="2547" w:type="dxa"/>
          </w:tcPr>
          <w:p w14:paraId="1FB6C874" w14:textId="7A8AFF5D" w:rsidR="00013FDC" w:rsidRPr="00F658E7" w:rsidRDefault="00013FDC" w:rsidP="0012782C">
            <w:pPr>
              <w:rPr>
                <w:rFonts w:ascii="Calibri" w:hAnsi="Calibri" w:cs="Calibri"/>
                <w:shd w:val="clear" w:color="auto" w:fill="FFFFFF"/>
              </w:rPr>
            </w:pPr>
            <w:r w:rsidRPr="00F658E7">
              <w:rPr>
                <w:rFonts w:ascii="Calibri" w:hAnsi="Calibri" w:cs="Calibri"/>
                <w:shd w:val="clear" w:color="auto" w:fill="FFFFFF"/>
              </w:rPr>
              <w:t>Gender Diverse</w:t>
            </w:r>
          </w:p>
        </w:tc>
        <w:tc>
          <w:tcPr>
            <w:tcW w:w="812" w:type="dxa"/>
            <w:vAlign w:val="center"/>
          </w:tcPr>
          <w:p w14:paraId="4234C064" w14:textId="5E72DFF2" w:rsidR="00013FDC" w:rsidRPr="00F658E7" w:rsidRDefault="00013FDC" w:rsidP="0012782C">
            <w:pPr>
              <w:jc w:val="right"/>
              <w:rPr>
                <w:rFonts w:ascii="Calibri" w:hAnsi="Calibri" w:cs="Calibri"/>
                <w:shd w:val="clear" w:color="auto" w:fill="FFFFFF"/>
              </w:rPr>
            </w:pPr>
            <w:r w:rsidRPr="00F658E7">
              <w:rPr>
                <w:rFonts w:ascii="Calibri" w:hAnsi="Calibri" w:cs="Calibri"/>
                <w:shd w:val="clear" w:color="auto" w:fill="FFFFFF"/>
              </w:rPr>
              <w:t>0.1%</w:t>
            </w:r>
          </w:p>
        </w:tc>
        <w:tc>
          <w:tcPr>
            <w:tcW w:w="813" w:type="dxa"/>
            <w:vAlign w:val="center"/>
          </w:tcPr>
          <w:p w14:paraId="7CC59A49" w14:textId="6164812E" w:rsidR="00013FDC" w:rsidRPr="00F658E7" w:rsidRDefault="00013FDC" w:rsidP="0012782C">
            <w:pPr>
              <w:jc w:val="right"/>
              <w:rPr>
                <w:rFonts w:ascii="Calibri" w:hAnsi="Calibri" w:cs="Calibri"/>
                <w:shd w:val="clear" w:color="auto" w:fill="FFFFFF"/>
              </w:rPr>
            </w:pPr>
            <w:r w:rsidRPr="00F658E7">
              <w:rPr>
                <w:rFonts w:ascii="Calibri" w:hAnsi="Calibri" w:cs="Calibri"/>
                <w:shd w:val="clear" w:color="auto" w:fill="FFFFFF"/>
              </w:rPr>
              <w:t>0.1%</w:t>
            </w:r>
          </w:p>
        </w:tc>
        <w:tc>
          <w:tcPr>
            <w:tcW w:w="812" w:type="dxa"/>
            <w:vAlign w:val="center"/>
          </w:tcPr>
          <w:p w14:paraId="43BCDA2E" w14:textId="03643080" w:rsidR="00013FDC" w:rsidRPr="00F658E7" w:rsidRDefault="00013FDC" w:rsidP="0012782C">
            <w:pPr>
              <w:jc w:val="right"/>
              <w:rPr>
                <w:rFonts w:ascii="Calibri" w:hAnsi="Calibri" w:cs="Calibri"/>
                <w:shd w:val="clear" w:color="auto" w:fill="FFFFFF"/>
              </w:rPr>
            </w:pPr>
            <w:r w:rsidRPr="00F658E7">
              <w:rPr>
                <w:rFonts w:ascii="Calibri" w:hAnsi="Calibri" w:cs="Calibri"/>
                <w:shd w:val="clear" w:color="auto" w:fill="FFFFFF"/>
              </w:rPr>
              <w:t>0.1%</w:t>
            </w:r>
          </w:p>
        </w:tc>
        <w:tc>
          <w:tcPr>
            <w:tcW w:w="813" w:type="dxa"/>
            <w:vAlign w:val="center"/>
          </w:tcPr>
          <w:p w14:paraId="3F0AF3B3" w14:textId="6F44284F" w:rsidR="00013FDC" w:rsidRPr="00F658E7" w:rsidRDefault="00013FDC" w:rsidP="0012782C">
            <w:pPr>
              <w:jc w:val="right"/>
              <w:rPr>
                <w:rFonts w:ascii="Calibri" w:hAnsi="Calibri" w:cs="Calibri"/>
                <w:shd w:val="clear" w:color="auto" w:fill="FFFFFF"/>
              </w:rPr>
            </w:pPr>
            <w:r w:rsidRPr="00F658E7">
              <w:rPr>
                <w:rFonts w:ascii="Calibri" w:hAnsi="Calibri" w:cs="Calibri"/>
                <w:shd w:val="clear" w:color="auto" w:fill="FFFFFF"/>
              </w:rPr>
              <w:t>0.3%</w:t>
            </w:r>
          </w:p>
        </w:tc>
        <w:tc>
          <w:tcPr>
            <w:tcW w:w="812" w:type="dxa"/>
            <w:vAlign w:val="center"/>
          </w:tcPr>
          <w:p w14:paraId="2233DD77" w14:textId="25A6A94F" w:rsidR="00013FDC" w:rsidRPr="00F658E7" w:rsidRDefault="00013FDC" w:rsidP="0012782C">
            <w:pPr>
              <w:jc w:val="right"/>
              <w:rPr>
                <w:rFonts w:ascii="Calibri" w:hAnsi="Calibri" w:cs="Calibri"/>
                <w:shd w:val="clear" w:color="auto" w:fill="FFFFFF"/>
              </w:rPr>
            </w:pPr>
            <w:r w:rsidRPr="00F658E7">
              <w:rPr>
                <w:rFonts w:ascii="Calibri" w:hAnsi="Calibri" w:cs="Calibri"/>
                <w:shd w:val="clear" w:color="auto" w:fill="FFFFFF"/>
              </w:rPr>
              <w:t>0.8%</w:t>
            </w:r>
          </w:p>
        </w:tc>
        <w:tc>
          <w:tcPr>
            <w:tcW w:w="813" w:type="dxa"/>
            <w:vAlign w:val="center"/>
          </w:tcPr>
          <w:p w14:paraId="3AC3E3FD" w14:textId="6D2D17A0" w:rsidR="00013FDC" w:rsidRPr="00F658E7" w:rsidRDefault="00013FDC" w:rsidP="0012782C">
            <w:pPr>
              <w:jc w:val="right"/>
              <w:rPr>
                <w:rFonts w:ascii="Calibri" w:hAnsi="Calibri" w:cs="Calibri"/>
                <w:shd w:val="clear" w:color="auto" w:fill="FFFFFF"/>
              </w:rPr>
            </w:pPr>
            <w:r w:rsidRPr="00F658E7">
              <w:rPr>
                <w:rFonts w:ascii="Calibri" w:hAnsi="Calibri" w:cs="Calibri"/>
                <w:shd w:val="clear" w:color="auto" w:fill="FFFFFF"/>
              </w:rPr>
              <w:t>1.0%</w:t>
            </w:r>
          </w:p>
        </w:tc>
      </w:tr>
    </w:tbl>
    <w:p w14:paraId="70898304" w14:textId="60371EDF" w:rsidR="00013FDC" w:rsidRPr="00F658E7" w:rsidRDefault="00013FDC" w:rsidP="0012782C">
      <w:pPr>
        <w:spacing w:after="0" w:line="240" w:lineRule="auto"/>
        <w:rPr>
          <w:rFonts w:ascii="Calibri" w:hAnsi="Calibri" w:cs="Calibri"/>
          <w:shd w:val="clear" w:color="auto" w:fill="FFFFFF"/>
        </w:rPr>
      </w:pPr>
    </w:p>
    <w:p w14:paraId="2AD2AA0B" w14:textId="37AB5982" w:rsidR="00DA7156" w:rsidRPr="00D910F0" w:rsidRDefault="00855D07" w:rsidP="0012782C">
      <w:pPr>
        <w:spacing w:after="0" w:line="240" w:lineRule="auto"/>
        <w:rPr>
          <w:rFonts w:ascii="Calibri" w:eastAsia="Times New Roman" w:hAnsi="Calibri" w:cs="Calibri"/>
        </w:rPr>
      </w:pPr>
      <w:r w:rsidRPr="00F658E7">
        <w:rPr>
          <w:rFonts w:ascii="Calibri" w:hAnsi="Calibri" w:cs="Calibri"/>
          <w:shd w:val="clear" w:color="auto" w:fill="FFFFFF"/>
        </w:rPr>
        <w:t xml:space="preserve">When considered as a proportion of students reporting a disability, a </w:t>
      </w:r>
      <w:r w:rsidR="00C75030" w:rsidRPr="00F658E7">
        <w:rPr>
          <w:rFonts w:ascii="Calibri" w:hAnsi="Calibri" w:cs="Calibri"/>
          <w:shd w:val="clear" w:color="auto" w:fill="FFFFFF"/>
        </w:rPr>
        <w:t xml:space="preserve">far </w:t>
      </w:r>
      <w:r w:rsidR="004547A7" w:rsidRPr="00F658E7">
        <w:rPr>
          <w:rFonts w:ascii="Calibri" w:hAnsi="Calibri" w:cs="Calibri"/>
          <w:shd w:val="clear" w:color="auto" w:fill="FFFFFF"/>
        </w:rPr>
        <w:t>greater percentage of female</w:t>
      </w:r>
      <w:r w:rsidR="000A6190" w:rsidRPr="00F658E7">
        <w:rPr>
          <w:rFonts w:ascii="Calibri" w:hAnsi="Calibri" w:cs="Calibri"/>
          <w:shd w:val="clear" w:color="auto" w:fill="FFFFFF"/>
        </w:rPr>
        <w:t xml:space="preserve"> students</w:t>
      </w:r>
      <w:r w:rsidR="004547A7" w:rsidRPr="00F658E7">
        <w:rPr>
          <w:rFonts w:ascii="Calibri" w:hAnsi="Calibri" w:cs="Calibri"/>
          <w:shd w:val="clear" w:color="auto" w:fill="FFFFFF"/>
        </w:rPr>
        <w:t xml:space="preserve"> identify as having a disability than male</w:t>
      </w:r>
      <w:r w:rsidR="000A6190" w:rsidRPr="00F658E7">
        <w:rPr>
          <w:rFonts w:ascii="Calibri" w:hAnsi="Calibri" w:cs="Calibri"/>
          <w:shd w:val="clear" w:color="auto" w:fill="FFFFFF"/>
        </w:rPr>
        <w:t xml:space="preserve"> students</w:t>
      </w:r>
      <w:r w:rsidR="004547A7" w:rsidRPr="00F658E7">
        <w:rPr>
          <w:rFonts w:ascii="Calibri" w:hAnsi="Calibri" w:cs="Calibri"/>
          <w:shd w:val="clear" w:color="auto" w:fill="FFFFFF"/>
        </w:rPr>
        <w:t xml:space="preserve">, the ratios in 2021 being 65.7% to 33.5%. </w:t>
      </w:r>
      <w:r w:rsidRPr="00F658E7">
        <w:rPr>
          <w:rFonts w:ascii="Calibri" w:hAnsi="Calibri" w:cs="Calibri"/>
          <w:shd w:val="clear" w:color="auto" w:fill="FFFFFF"/>
        </w:rPr>
        <w:t xml:space="preserve">This is exaggerated by the greater proportion of female students that the University typically enrols each year. </w:t>
      </w:r>
    </w:p>
    <w:p w14:paraId="2E869593" w14:textId="77777777" w:rsidR="004620A6" w:rsidRDefault="004620A6" w:rsidP="0012782C">
      <w:pPr>
        <w:spacing w:after="0" w:line="240" w:lineRule="auto"/>
        <w:rPr>
          <w:rFonts w:ascii="Calibri" w:hAnsi="Calibri" w:cs="Calibri"/>
          <w:shd w:val="clear" w:color="auto" w:fill="FFFFFF"/>
        </w:rPr>
      </w:pPr>
    </w:p>
    <w:p w14:paraId="3B8A38F4" w14:textId="671F1572" w:rsidR="003D2F21" w:rsidRPr="00F658E7" w:rsidRDefault="003D2F21" w:rsidP="0012782C">
      <w:pPr>
        <w:spacing w:after="0" w:line="240" w:lineRule="auto"/>
        <w:rPr>
          <w:rFonts w:ascii="Calibri" w:hAnsi="Calibri" w:cs="Calibri"/>
          <w:b/>
          <w:bCs/>
          <w:shd w:val="clear" w:color="auto" w:fill="FFFFFF"/>
        </w:rPr>
      </w:pPr>
      <w:r w:rsidRPr="00F658E7">
        <w:rPr>
          <w:rFonts w:ascii="Calibri" w:hAnsi="Calibri" w:cs="Calibri"/>
          <w:b/>
          <w:bCs/>
          <w:shd w:val="clear" w:color="auto" w:fill="FFFFFF"/>
        </w:rPr>
        <w:t>TABLE 5: Proportion of Māori and Pacific students reporting a disability</w:t>
      </w:r>
    </w:p>
    <w:p w14:paraId="40B7C793" w14:textId="77777777" w:rsidR="003D2F21" w:rsidRPr="00F658E7" w:rsidRDefault="003D2F21" w:rsidP="0012782C">
      <w:pPr>
        <w:spacing w:after="0" w:line="240" w:lineRule="auto"/>
        <w:rPr>
          <w:rFonts w:ascii="Calibri" w:hAnsi="Calibri" w:cs="Calibri"/>
          <w:shd w:val="clear" w:color="auto" w:fill="FFFFFF"/>
        </w:rPr>
      </w:pPr>
    </w:p>
    <w:tbl>
      <w:tblPr>
        <w:tblStyle w:val="TableGrid"/>
        <w:tblW w:w="0" w:type="auto"/>
        <w:tblLook w:val="04A0" w:firstRow="1" w:lastRow="0" w:firstColumn="1" w:lastColumn="0" w:noHBand="0" w:noVBand="1"/>
      </w:tblPr>
      <w:tblGrid>
        <w:gridCol w:w="2547"/>
        <w:gridCol w:w="890"/>
        <w:gridCol w:w="890"/>
        <w:gridCol w:w="890"/>
        <w:gridCol w:w="890"/>
        <w:gridCol w:w="890"/>
        <w:gridCol w:w="891"/>
      </w:tblGrid>
      <w:tr w:rsidR="005B4978" w:rsidRPr="00D910F0" w14:paraId="2823E609" w14:textId="77777777" w:rsidTr="00F658E7">
        <w:tc>
          <w:tcPr>
            <w:tcW w:w="2547" w:type="dxa"/>
          </w:tcPr>
          <w:p w14:paraId="6570318F" w14:textId="77777777" w:rsidR="003D2F21" w:rsidRPr="00F658E7" w:rsidRDefault="003D2F21" w:rsidP="0012782C">
            <w:pPr>
              <w:rPr>
                <w:rFonts w:ascii="Calibri" w:hAnsi="Calibri" w:cs="Calibri"/>
                <w:shd w:val="clear" w:color="auto" w:fill="FFFFFF"/>
              </w:rPr>
            </w:pPr>
          </w:p>
        </w:tc>
        <w:tc>
          <w:tcPr>
            <w:tcW w:w="890" w:type="dxa"/>
          </w:tcPr>
          <w:p w14:paraId="1C2A2F04" w14:textId="77777777" w:rsidR="003D2F21" w:rsidRPr="00F658E7" w:rsidRDefault="003D2F21" w:rsidP="0012782C">
            <w:pPr>
              <w:jc w:val="center"/>
              <w:rPr>
                <w:rFonts w:ascii="Calibri" w:hAnsi="Calibri" w:cs="Calibri"/>
                <w:b/>
                <w:bCs/>
                <w:shd w:val="clear" w:color="auto" w:fill="FFFFFF"/>
              </w:rPr>
            </w:pPr>
            <w:r w:rsidRPr="00F658E7">
              <w:rPr>
                <w:rFonts w:ascii="Calibri" w:hAnsi="Calibri" w:cs="Calibri"/>
                <w:b/>
                <w:bCs/>
                <w:shd w:val="clear" w:color="auto" w:fill="FFFFFF"/>
              </w:rPr>
              <w:t>2017</w:t>
            </w:r>
          </w:p>
        </w:tc>
        <w:tc>
          <w:tcPr>
            <w:tcW w:w="890" w:type="dxa"/>
          </w:tcPr>
          <w:p w14:paraId="195A6DCB" w14:textId="77777777" w:rsidR="003D2F21" w:rsidRPr="00F658E7" w:rsidRDefault="003D2F21" w:rsidP="0012782C">
            <w:pPr>
              <w:jc w:val="center"/>
              <w:rPr>
                <w:rFonts w:ascii="Calibri" w:hAnsi="Calibri" w:cs="Calibri"/>
                <w:b/>
                <w:bCs/>
                <w:shd w:val="clear" w:color="auto" w:fill="FFFFFF"/>
              </w:rPr>
            </w:pPr>
            <w:r w:rsidRPr="00F658E7">
              <w:rPr>
                <w:rFonts w:ascii="Calibri" w:hAnsi="Calibri" w:cs="Calibri"/>
                <w:b/>
                <w:bCs/>
                <w:shd w:val="clear" w:color="auto" w:fill="FFFFFF"/>
              </w:rPr>
              <w:t>2018</w:t>
            </w:r>
          </w:p>
        </w:tc>
        <w:tc>
          <w:tcPr>
            <w:tcW w:w="890" w:type="dxa"/>
          </w:tcPr>
          <w:p w14:paraId="3D32C735" w14:textId="77777777" w:rsidR="003D2F21" w:rsidRPr="00F658E7" w:rsidRDefault="003D2F21" w:rsidP="0012782C">
            <w:pPr>
              <w:jc w:val="center"/>
              <w:rPr>
                <w:rFonts w:ascii="Calibri" w:hAnsi="Calibri" w:cs="Calibri"/>
                <w:b/>
                <w:bCs/>
                <w:shd w:val="clear" w:color="auto" w:fill="FFFFFF"/>
              </w:rPr>
            </w:pPr>
            <w:r w:rsidRPr="00F658E7">
              <w:rPr>
                <w:rFonts w:ascii="Calibri" w:hAnsi="Calibri" w:cs="Calibri"/>
                <w:b/>
                <w:bCs/>
                <w:shd w:val="clear" w:color="auto" w:fill="FFFFFF"/>
              </w:rPr>
              <w:t>2019</w:t>
            </w:r>
          </w:p>
        </w:tc>
        <w:tc>
          <w:tcPr>
            <w:tcW w:w="890" w:type="dxa"/>
          </w:tcPr>
          <w:p w14:paraId="60111A83" w14:textId="77777777" w:rsidR="003D2F21" w:rsidRPr="00F658E7" w:rsidRDefault="003D2F21" w:rsidP="0012782C">
            <w:pPr>
              <w:jc w:val="center"/>
              <w:rPr>
                <w:rFonts w:ascii="Calibri" w:hAnsi="Calibri" w:cs="Calibri"/>
                <w:b/>
                <w:bCs/>
                <w:shd w:val="clear" w:color="auto" w:fill="FFFFFF"/>
              </w:rPr>
            </w:pPr>
            <w:r w:rsidRPr="00F658E7">
              <w:rPr>
                <w:rFonts w:ascii="Calibri" w:hAnsi="Calibri" w:cs="Calibri"/>
                <w:b/>
                <w:bCs/>
                <w:shd w:val="clear" w:color="auto" w:fill="FFFFFF"/>
              </w:rPr>
              <w:t>2020</w:t>
            </w:r>
          </w:p>
        </w:tc>
        <w:tc>
          <w:tcPr>
            <w:tcW w:w="890" w:type="dxa"/>
          </w:tcPr>
          <w:p w14:paraId="0B3300C4" w14:textId="77777777" w:rsidR="003D2F21" w:rsidRPr="00F658E7" w:rsidRDefault="003D2F21" w:rsidP="0012782C">
            <w:pPr>
              <w:jc w:val="center"/>
              <w:rPr>
                <w:rFonts w:ascii="Calibri" w:hAnsi="Calibri" w:cs="Calibri"/>
                <w:b/>
                <w:bCs/>
                <w:shd w:val="clear" w:color="auto" w:fill="FFFFFF"/>
              </w:rPr>
            </w:pPr>
            <w:r w:rsidRPr="00F658E7">
              <w:rPr>
                <w:rFonts w:ascii="Calibri" w:hAnsi="Calibri" w:cs="Calibri"/>
                <w:b/>
                <w:bCs/>
                <w:shd w:val="clear" w:color="auto" w:fill="FFFFFF"/>
              </w:rPr>
              <w:t>2021</w:t>
            </w:r>
          </w:p>
        </w:tc>
        <w:tc>
          <w:tcPr>
            <w:tcW w:w="891" w:type="dxa"/>
          </w:tcPr>
          <w:p w14:paraId="3EB10544" w14:textId="33788EE3" w:rsidR="003D2F21" w:rsidRPr="00F658E7" w:rsidRDefault="003D2F21" w:rsidP="0012782C">
            <w:pPr>
              <w:jc w:val="center"/>
              <w:rPr>
                <w:rFonts w:ascii="Calibri" w:hAnsi="Calibri" w:cs="Calibri"/>
                <w:b/>
                <w:bCs/>
                <w:shd w:val="clear" w:color="auto" w:fill="FFFFFF"/>
              </w:rPr>
            </w:pPr>
            <w:r w:rsidRPr="00F658E7">
              <w:rPr>
                <w:rFonts w:ascii="Calibri" w:hAnsi="Calibri" w:cs="Calibri"/>
                <w:b/>
                <w:bCs/>
                <w:shd w:val="clear" w:color="auto" w:fill="FFFFFF"/>
              </w:rPr>
              <w:t>2022</w:t>
            </w:r>
            <w:r w:rsidR="009F2B55" w:rsidRPr="00520A86">
              <w:rPr>
                <w:rFonts w:ascii="Calibri" w:eastAsia="Times New Roman" w:hAnsi="Calibri" w:cs="Calibri"/>
                <w:b/>
                <w:bCs/>
              </w:rPr>
              <w:t>*</w:t>
            </w:r>
          </w:p>
        </w:tc>
      </w:tr>
      <w:tr w:rsidR="005B4978" w:rsidRPr="00D910F0" w14:paraId="68F8AA68" w14:textId="77777777" w:rsidTr="00F658E7">
        <w:tc>
          <w:tcPr>
            <w:tcW w:w="2547" w:type="dxa"/>
          </w:tcPr>
          <w:p w14:paraId="043CA311" w14:textId="77777777" w:rsidR="003D2F21" w:rsidRPr="00F658E7" w:rsidRDefault="003D2F21" w:rsidP="0012782C">
            <w:pPr>
              <w:rPr>
                <w:rFonts w:ascii="Calibri" w:hAnsi="Calibri" w:cs="Calibri"/>
                <w:shd w:val="clear" w:color="auto" w:fill="FFFFFF"/>
              </w:rPr>
            </w:pPr>
            <w:r w:rsidRPr="00F658E7">
              <w:rPr>
                <w:rFonts w:ascii="Calibri" w:hAnsi="Calibri" w:cs="Calibri"/>
                <w:shd w:val="clear" w:color="auto" w:fill="FFFFFF"/>
              </w:rPr>
              <w:t>Māori</w:t>
            </w:r>
          </w:p>
        </w:tc>
        <w:tc>
          <w:tcPr>
            <w:tcW w:w="890" w:type="dxa"/>
            <w:vAlign w:val="center"/>
          </w:tcPr>
          <w:p w14:paraId="254874B5" w14:textId="77777777" w:rsidR="003D2F21" w:rsidRPr="00F658E7" w:rsidRDefault="003D2F21" w:rsidP="0012782C">
            <w:pPr>
              <w:jc w:val="right"/>
              <w:rPr>
                <w:rFonts w:ascii="Calibri" w:hAnsi="Calibri" w:cs="Calibri"/>
                <w:shd w:val="clear" w:color="auto" w:fill="FFFFFF"/>
              </w:rPr>
            </w:pPr>
            <w:r w:rsidRPr="00F658E7">
              <w:rPr>
                <w:rFonts w:ascii="Calibri" w:hAnsi="Calibri" w:cs="Calibri"/>
                <w:shd w:val="clear" w:color="auto" w:fill="FFFFFF"/>
              </w:rPr>
              <w:t>9.4%</w:t>
            </w:r>
          </w:p>
        </w:tc>
        <w:tc>
          <w:tcPr>
            <w:tcW w:w="890" w:type="dxa"/>
            <w:vAlign w:val="center"/>
          </w:tcPr>
          <w:p w14:paraId="67B1F9B3" w14:textId="77777777" w:rsidR="003D2F21" w:rsidRPr="00F658E7" w:rsidRDefault="003D2F21" w:rsidP="0012782C">
            <w:pPr>
              <w:jc w:val="right"/>
              <w:rPr>
                <w:rFonts w:ascii="Calibri" w:hAnsi="Calibri" w:cs="Calibri"/>
                <w:shd w:val="clear" w:color="auto" w:fill="FFFFFF"/>
              </w:rPr>
            </w:pPr>
            <w:r w:rsidRPr="00F658E7">
              <w:rPr>
                <w:rFonts w:ascii="Calibri" w:hAnsi="Calibri" w:cs="Calibri"/>
                <w:shd w:val="clear" w:color="auto" w:fill="FFFFFF"/>
              </w:rPr>
              <w:t>9.4%</w:t>
            </w:r>
          </w:p>
        </w:tc>
        <w:tc>
          <w:tcPr>
            <w:tcW w:w="890" w:type="dxa"/>
            <w:vAlign w:val="center"/>
          </w:tcPr>
          <w:p w14:paraId="31C53FD7" w14:textId="77777777" w:rsidR="003D2F21" w:rsidRPr="00F658E7" w:rsidRDefault="003D2F21" w:rsidP="0012782C">
            <w:pPr>
              <w:jc w:val="right"/>
              <w:rPr>
                <w:rFonts w:ascii="Calibri" w:hAnsi="Calibri" w:cs="Calibri"/>
                <w:shd w:val="clear" w:color="auto" w:fill="FFFFFF"/>
              </w:rPr>
            </w:pPr>
            <w:r w:rsidRPr="00F658E7">
              <w:rPr>
                <w:rFonts w:ascii="Calibri" w:hAnsi="Calibri" w:cs="Calibri"/>
                <w:shd w:val="clear" w:color="auto" w:fill="FFFFFF"/>
              </w:rPr>
              <w:t>10.0%</w:t>
            </w:r>
          </w:p>
        </w:tc>
        <w:tc>
          <w:tcPr>
            <w:tcW w:w="890" w:type="dxa"/>
            <w:vAlign w:val="center"/>
          </w:tcPr>
          <w:p w14:paraId="772EDF96" w14:textId="77777777" w:rsidR="003D2F21" w:rsidRPr="00F658E7" w:rsidRDefault="003D2F21" w:rsidP="0012782C">
            <w:pPr>
              <w:jc w:val="right"/>
              <w:rPr>
                <w:rFonts w:ascii="Calibri" w:hAnsi="Calibri" w:cs="Calibri"/>
                <w:shd w:val="clear" w:color="auto" w:fill="FFFFFF"/>
              </w:rPr>
            </w:pPr>
            <w:r w:rsidRPr="00F658E7">
              <w:rPr>
                <w:rFonts w:ascii="Calibri" w:hAnsi="Calibri" w:cs="Calibri"/>
                <w:shd w:val="clear" w:color="auto" w:fill="FFFFFF"/>
              </w:rPr>
              <w:t>9.6%</w:t>
            </w:r>
          </w:p>
        </w:tc>
        <w:tc>
          <w:tcPr>
            <w:tcW w:w="890" w:type="dxa"/>
            <w:vAlign w:val="center"/>
          </w:tcPr>
          <w:p w14:paraId="5C447E71" w14:textId="77777777" w:rsidR="003D2F21" w:rsidRPr="00F658E7" w:rsidRDefault="003D2F21" w:rsidP="0012782C">
            <w:pPr>
              <w:jc w:val="right"/>
              <w:rPr>
                <w:rFonts w:ascii="Calibri" w:hAnsi="Calibri" w:cs="Calibri"/>
                <w:shd w:val="clear" w:color="auto" w:fill="FFFFFF"/>
              </w:rPr>
            </w:pPr>
            <w:r w:rsidRPr="00F658E7">
              <w:rPr>
                <w:rFonts w:ascii="Calibri" w:hAnsi="Calibri" w:cs="Calibri"/>
                <w:shd w:val="clear" w:color="auto" w:fill="FFFFFF"/>
              </w:rPr>
              <w:t>9.4%</w:t>
            </w:r>
          </w:p>
        </w:tc>
        <w:tc>
          <w:tcPr>
            <w:tcW w:w="891" w:type="dxa"/>
            <w:vAlign w:val="center"/>
          </w:tcPr>
          <w:p w14:paraId="4AB3A61E" w14:textId="77777777" w:rsidR="003D2F21" w:rsidRPr="00F658E7" w:rsidRDefault="003D2F21" w:rsidP="0012782C">
            <w:pPr>
              <w:jc w:val="right"/>
              <w:rPr>
                <w:rFonts w:ascii="Calibri" w:hAnsi="Calibri" w:cs="Calibri"/>
                <w:shd w:val="clear" w:color="auto" w:fill="FFFFFF"/>
              </w:rPr>
            </w:pPr>
            <w:r w:rsidRPr="00F658E7">
              <w:rPr>
                <w:rFonts w:ascii="Calibri" w:hAnsi="Calibri" w:cs="Calibri"/>
                <w:shd w:val="clear" w:color="auto" w:fill="FFFFFF"/>
              </w:rPr>
              <w:t>9.0%</w:t>
            </w:r>
          </w:p>
        </w:tc>
      </w:tr>
      <w:tr w:rsidR="005B4978" w:rsidRPr="00D910F0" w14:paraId="43981562" w14:textId="77777777" w:rsidTr="00F658E7">
        <w:tc>
          <w:tcPr>
            <w:tcW w:w="2547" w:type="dxa"/>
          </w:tcPr>
          <w:p w14:paraId="26AE4BFF" w14:textId="77777777" w:rsidR="003D2F21" w:rsidRPr="00F658E7" w:rsidRDefault="003D2F21" w:rsidP="0012782C">
            <w:pPr>
              <w:rPr>
                <w:rFonts w:ascii="Calibri" w:hAnsi="Calibri" w:cs="Calibri"/>
                <w:shd w:val="clear" w:color="auto" w:fill="FFFFFF"/>
              </w:rPr>
            </w:pPr>
            <w:r w:rsidRPr="00F658E7">
              <w:rPr>
                <w:rFonts w:ascii="Calibri" w:hAnsi="Calibri" w:cs="Calibri"/>
                <w:shd w:val="clear" w:color="auto" w:fill="FFFFFF"/>
              </w:rPr>
              <w:t>Pacific</w:t>
            </w:r>
          </w:p>
        </w:tc>
        <w:tc>
          <w:tcPr>
            <w:tcW w:w="890" w:type="dxa"/>
            <w:vAlign w:val="center"/>
          </w:tcPr>
          <w:p w14:paraId="07A644EA" w14:textId="77777777" w:rsidR="003D2F21" w:rsidRPr="00F658E7" w:rsidRDefault="003D2F21" w:rsidP="0012782C">
            <w:pPr>
              <w:jc w:val="right"/>
              <w:rPr>
                <w:rFonts w:ascii="Calibri" w:hAnsi="Calibri" w:cs="Calibri"/>
                <w:shd w:val="clear" w:color="auto" w:fill="FFFFFF"/>
              </w:rPr>
            </w:pPr>
            <w:r w:rsidRPr="00F658E7">
              <w:rPr>
                <w:rFonts w:ascii="Calibri" w:hAnsi="Calibri" w:cs="Calibri"/>
                <w:shd w:val="clear" w:color="auto" w:fill="FFFFFF"/>
              </w:rPr>
              <w:t>7.0%</w:t>
            </w:r>
          </w:p>
        </w:tc>
        <w:tc>
          <w:tcPr>
            <w:tcW w:w="890" w:type="dxa"/>
            <w:vAlign w:val="center"/>
          </w:tcPr>
          <w:p w14:paraId="10AE7F3B" w14:textId="77777777" w:rsidR="003D2F21" w:rsidRPr="00F658E7" w:rsidRDefault="003D2F21" w:rsidP="0012782C">
            <w:pPr>
              <w:jc w:val="right"/>
              <w:rPr>
                <w:rFonts w:ascii="Calibri" w:hAnsi="Calibri" w:cs="Calibri"/>
                <w:shd w:val="clear" w:color="auto" w:fill="FFFFFF"/>
              </w:rPr>
            </w:pPr>
            <w:r w:rsidRPr="00F658E7">
              <w:rPr>
                <w:rFonts w:ascii="Calibri" w:hAnsi="Calibri" w:cs="Calibri"/>
                <w:shd w:val="clear" w:color="auto" w:fill="FFFFFF"/>
              </w:rPr>
              <w:t>7.7%</w:t>
            </w:r>
          </w:p>
        </w:tc>
        <w:tc>
          <w:tcPr>
            <w:tcW w:w="890" w:type="dxa"/>
            <w:vAlign w:val="center"/>
          </w:tcPr>
          <w:p w14:paraId="1153B315" w14:textId="77777777" w:rsidR="003D2F21" w:rsidRPr="00F658E7" w:rsidRDefault="003D2F21" w:rsidP="0012782C">
            <w:pPr>
              <w:jc w:val="right"/>
              <w:rPr>
                <w:rFonts w:ascii="Calibri" w:hAnsi="Calibri" w:cs="Calibri"/>
                <w:shd w:val="clear" w:color="auto" w:fill="FFFFFF"/>
              </w:rPr>
            </w:pPr>
            <w:r w:rsidRPr="00F658E7">
              <w:rPr>
                <w:rFonts w:ascii="Calibri" w:hAnsi="Calibri" w:cs="Calibri"/>
                <w:shd w:val="clear" w:color="auto" w:fill="FFFFFF"/>
              </w:rPr>
              <w:t>6.2%</w:t>
            </w:r>
          </w:p>
        </w:tc>
        <w:tc>
          <w:tcPr>
            <w:tcW w:w="890" w:type="dxa"/>
            <w:vAlign w:val="center"/>
          </w:tcPr>
          <w:p w14:paraId="5309EC64" w14:textId="77777777" w:rsidR="003D2F21" w:rsidRPr="00F658E7" w:rsidRDefault="003D2F21" w:rsidP="0012782C">
            <w:pPr>
              <w:jc w:val="right"/>
              <w:rPr>
                <w:rFonts w:ascii="Calibri" w:hAnsi="Calibri" w:cs="Calibri"/>
                <w:shd w:val="clear" w:color="auto" w:fill="FFFFFF"/>
              </w:rPr>
            </w:pPr>
            <w:r w:rsidRPr="00F658E7">
              <w:rPr>
                <w:rFonts w:ascii="Calibri" w:hAnsi="Calibri" w:cs="Calibri"/>
                <w:shd w:val="clear" w:color="auto" w:fill="FFFFFF"/>
              </w:rPr>
              <w:t>6.1%</w:t>
            </w:r>
          </w:p>
        </w:tc>
        <w:tc>
          <w:tcPr>
            <w:tcW w:w="890" w:type="dxa"/>
            <w:vAlign w:val="center"/>
          </w:tcPr>
          <w:p w14:paraId="3EBEA845" w14:textId="77777777" w:rsidR="003D2F21" w:rsidRPr="00F658E7" w:rsidRDefault="003D2F21" w:rsidP="0012782C">
            <w:pPr>
              <w:jc w:val="right"/>
              <w:rPr>
                <w:rFonts w:ascii="Calibri" w:hAnsi="Calibri" w:cs="Calibri"/>
                <w:shd w:val="clear" w:color="auto" w:fill="FFFFFF"/>
              </w:rPr>
            </w:pPr>
            <w:r w:rsidRPr="00F658E7">
              <w:rPr>
                <w:rFonts w:ascii="Calibri" w:hAnsi="Calibri" w:cs="Calibri"/>
                <w:shd w:val="clear" w:color="auto" w:fill="FFFFFF"/>
              </w:rPr>
              <w:t>6.4%</w:t>
            </w:r>
          </w:p>
        </w:tc>
        <w:tc>
          <w:tcPr>
            <w:tcW w:w="891" w:type="dxa"/>
            <w:vAlign w:val="center"/>
          </w:tcPr>
          <w:p w14:paraId="334A4725" w14:textId="77777777" w:rsidR="003D2F21" w:rsidRPr="00F658E7" w:rsidRDefault="003D2F21" w:rsidP="0012782C">
            <w:pPr>
              <w:jc w:val="right"/>
              <w:rPr>
                <w:rFonts w:ascii="Calibri" w:hAnsi="Calibri" w:cs="Calibri"/>
                <w:shd w:val="clear" w:color="auto" w:fill="FFFFFF"/>
              </w:rPr>
            </w:pPr>
            <w:r w:rsidRPr="00F658E7">
              <w:rPr>
                <w:rFonts w:ascii="Calibri" w:hAnsi="Calibri" w:cs="Calibri"/>
                <w:shd w:val="clear" w:color="auto" w:fill="FFFFFF"/>
              </w:rPr>
              <w:t>4.9%</w:t>
            </w:r>
          </w:p>
        </w:tc>
      </w:tr>
    </w:tbl>
    <w:p w14:paraId="3C791A42" w14:textId="77777777" w:rsidR="003D2F21" w:rsidRPr="00F658E7" w:rsidRDefault="003D2F21" w:rsidP="0012782C">
      <w:pPr>
        <w:spacing w:after="0" w:line="240" w:lineRule="auto"/>
        <w:rPr>
          <w:rFonts w:ascii="Calibri" w:hAnsi="Calibri" w:cs="Calibri"/>
          <w:shd w:val="clear" w:color="auto" w:fill="FFFFFF"/>
        </w:rPr>
      </w:pPr>
    </w:p>
    <w:p w14:paraId="160473E1" w14:textId="27B6CB3F" w:rsidR="003D2F21" w:rsidRPr="00F658E7" w:rsidRDefault="003D2F21" w:rsidP="0012782C">
      <w:pPr>
        <w:pStyle w:val="Heading3"/>
        <w:spacing w:line="240" w:lineRule="auto"/>
        <w:rPr>
          <w:rFonts w:asciiTheme="minorHAnsi" w:hAnsiTheme="minorHAnsi" w:cstheme="minorHAnsi"/>
          <w:color w:val="auto"/>
          <w:sz w:val="22"/>
          <w:szCs w:val="22"/>
          <w:shd w:val="clear" w:color="auto" w:fill="FFFFFF"/>
        </w:rPr>
      </w:pPr>
      <w:bookmarkStart w:id="5" w:name="_Toc120609552"/>
      <w:r w:rsidRPr="00F658E7">
        <w:rPr>
          <w:rFonts w:asciiTheme="minorHAnsi" w:hAnsiTheme="minorHAnsi" w:cstheme="minorHAnsi"/>
          <w:color w:val="auto"/>
          <w:sz w:val="22"/>
          <w:szCs w:val="22"/>
          <w:shd w:val="clear" w:color="auto" w:fill="FFFFFF"/>
        </w:rPr>
        <w:t xml:space="preserve">A slightly higher proportion of Māori students reported having a disability than the total student population, with a lower proportion of Pacific students reporting </w:t>
      </w:r>
      <w:r w:rsidR="00665B84" w:rsidRPr="00F658E7">
        <w:rPr>
          <w:rFonts w:asciiTheme="minorHAnsi" w:hAnsiTheme="minorHAnsi" w:cstheme="minorHAnsi"/>
          <w:color w:val="auto"/>
          <w:sz w:val="22"/>
          <w:szCs w:val="22"/>
          <w:shd w:val="clear" w:color="auto" w:fill="FFFFFF"/>
        </w:rPr>
        <w:t>disabilities</w:t>
      </w:r>
      <w:r w:rsidRPr="00F658E7">
        <w:rPr>
          <w:rFonts w:asciiTheme="minorHAnsi" w:hAnsiTheme="minorHAnsi" w:cstheme="minorHAnsi"/>
          <w:color w:val="auto"/>
          <w:sz w:val="22"/>
          <w:szCs w:val="22"/>
          <w:shd w:val="clear" w:color="auto" w:fill="FFFFFF"/>
        </w:rPr>
        <w:t>.</w:t>
      </w:r>
      <w:bookmarkEnd w:id="5"/>
    </w:p>
    <w:p w14:paraId="31022B26" w14:textId="77777777" w:rsidR="004620A6" w:rsidRDefault="004620A6">
      <w:pPr>
        <w:rPr>
          <w:rFonts w:asciiTheme="majorHAnsi" w:eastAsiaTheme="majorEastAsia" w:hAnsiTheme="majorHAnsi" w:cstheme="majorBidi"/>
          <w:sz w:val="24"/>
          <w:szCs w:val="24"/>
          <w:shd w:val="clear" w:color="auto" w:fill="FFFFFF"/>
        </w:rPr>
      </w:pPr>
      <w:r>
        <w:rPr>
          <w:shd w:val="clear" w:color="auto" w:fill="FFFFFF"/>
        </w:rPr>
        <w:br w:type="page"/>
      </w:r>
    </w:p>
    <w:p w14:paraId="0D2E6FBF" w14:textId="7C24F61A" w:rsidR="007B08B5" w:rsidRPr="00F658E7" w:rsidRDefault="007B08B5" w:rsidP="0012782C">
      <w:pPr>
        <w:pStyle w:val="Heading3"/>
        <w:spacing w:line="240" w:lineRule="auto"/>
        <w:rPr>
          <w:color w:val="auto"/>
          <w:shd w:val="clear" w:color="auto" w:fill="FFFFFF"/>
        </w:rPr>
      </w:pPr>
      <w:bookmarkStart w:id="6" w:name="_Toc120609553"/>
      <w:r w:rsidRPr="00F658E7">
        <w:rPr>
          <w:color w:val="auto"/>
          <w:shd w:val="clear" w:color="auto" w:fill="FFFFFF"/>
        </w:rPr>
        <w:t xml:space="preserve">1.1.2 </w:t>
      </w:r>
      <w:r w:rsidR="00934FFE" w:rsidRPr="00F658E7">
        <w:rPr>
          <w:color w:val="auto"/>
          <w:shd w:val="clear" w:color="auto" w:fill="FFFFFF"/>
        </w:rPr>
        <w:t>Course completion rates</w:t>
      </w:r>
      <w:bookmarkEnd w:id="6"/>
    </w:p>
    <w:p w14:paraId="70FE97F4" w14:textId="198FCF04" w:rsidR="00C70D1C" w:rsidRPr="00F658E7" w:rsidRDefault="00C70D1C" w:rsidP="0012782C">
      <w:pPr>
        <w:spacing w:after="0" w:line="240" w:lineRule="auto"/>
        <w:rPr>
          <w:rFonts w:ascii="Calibri" w:eastAsia="Times New Roman" w:hAnsi="Calibri" w:cs="Calibri"/>
          <w:b/>
          <w:bCs/>
        </w:rPr>
      </w:pPr>
      <w:r w:rsidRPr="00F658E7">
        <w:rPr>
          <w:rFonts w:ascii="Calibri" w:hAnsi="Calibri" w:cs="Calibri"/>
          <w:b/>
          <w:bCs/>
          <w:shd w:val="clear" w:color="auto" w:fill="FFFFFF"/>
        </w:rPr>
        <w:t xml:space="preserve">TABLE </w:t>
      </w:r>
      <w:r w:rsidR="00934FFE" w:rsidRPr="00F658E7">
        <w:rPr>
          <w:rFonts w:ascii="Calibri" w:hAnsi="Calibri" w:cs="Calibri"/>
          <w:b/>
          <w:bCs/>
          <w:shd w:val="clear" w:color="auto" w:fill="FFFFFF"/>
        </w:rPr>
        <w:t xml:space="preserve">6: </w:t>
      </w:r>
      <w:r w:rsidR="00934FFE" w:rsidRPr="00F658E7">
        <w:rPr>
          <w:rFonts w:ascii="Calibri" w:eastAsia="Times New Roman" w:hAnsi="Calibri" w:cs="Calibri"/>
          <w:b/>
          <w:bCs/>
        </w:rPr>
        <w:t xml:space="preserve">Course completion rates </w:t>
      </w:r>
    </w:p>
    <w:p w14:paraId="066B227E" w14:textId="2A3A7436" w:rsidR="00C70D1C" w:rsidRPr="00F658E7" w:rsidRDefault="00C70D1C" w:rsidP="0012782C">
      <w:pPr>
        <w:pStyle w:val="Default"/>
        <w:rPr>
          <w:rFonts w:ascii="Calibri" w:hAnsi="Calibri" w:cs="Calibri"/>
          <w:b/>
          <w:bCs/>
          <w:color w:val="auto"/>
          <w:sz w:val="22"/>
          <w:szCs w:val="22"/>
          <w:shd w:val="clear" w:color="auto" w:fill="FFFFFF"/>
        </w:rPr>
      </w:pPr>
    </w:p>
    <w:tbl>
      <w:tblPr>
        <w:tblW w:w="7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920"/>
        <w:gridCol w:w="920"/>
        <w:gridCol w:w="920"/>
        <w:gridCol w:w="920"/>
        <w:gridCol w:w="920"/>
        <w:gridCol w:w="920"/>
      </w:tblGrid>
      <w:tr w:rsidR="00C70D1C" w:rsidRPr="00D910F0" w14:paraId="614F9F7F" w14:textId="77777777" w:rsidTr="00E8336F">
        <w:trPr>
          <w:trHeight w:val="300"/>
        </w:trPr>
        <w:tc>
          <w:tcPr>
            <w:tcW w:w="2140" w:type="dxa"/>
            <w:shd w:val="clear" w:color="D9E1F2" w:fill="D9E1F2"/>
            <w:noWrap/>
            <w:vAlign w:val="bottom"/>
            <w:hideMark/>
          </w:tcPr>
          <w:p w14:paraId="04A40655" w14:textId="1D9FA856" w:rsidR="00C70D1C" w:rsidRPr="00F658E7" w:rsidRDefault="008D1FAC" w:rsidP="0012782C">
            <w:pPr>
              <w:spacing w:after="0" w:line="240" w:lineRule="auto"/>
              <w:rPr>
                <w:rFonts w:ascii="Calibri" w:eastAsia="Times New Roman" w:hAnsi="Calibri" w:cs="Calibri"/>
                <w:b/>
                <w:bCs/>
              </w:rPr>
            </w:pPr>
            <w:r w:rsidRPr="00F658E7">
              <w:rPr>
                <w:rFonts w:ascii="Calibri" w:eastAsia="Times New Roman" w:hAnsi="Calibri" w:cs="Calibri"/>
                <w:b/>
                <w:bCs/>
              </w:rPr>
              <w:t>Has a disability</w:t>
            </w:r>
          </w:p>
        </w:tc>
        <w:tc>
          <w:tcPr>
            <w:tcW w:w="920" w:type="dxa"/>
            <w:shd w:val="clear" w:color="D9E1F2" w:fill="D9E1F2"/>
            <w:noWrap/>
            <w:vAlign w:val="bottom"/>
            <w:hideMark/>
          </w:tcPr>
          <w:p w14:paraId="2393A639" w14:textId="77777777" w:rsidR="00C70D1C" w:rsidRPr="00F658E7" w:rsidRDefault="00C70D1C" w:rsidP="0012782C">
            <w:pPr>
              <w:spacing w:after="0" w:line="240" w:lineRule="auto"/>
              <w:jc w:val="center"/>
              <w:rPr>
                <w:rFonts w:ascii="Calibri" w:eastAsia="Times New Roman" w:hAnsi="Calibri" w:cs="Calibri"/>
                <w:b/>
                <w:bCs/>
              </w:rPr>
            </w:pPr>
            <w:r w:rsidRPr="00F658E7">
              <w:rPr>
                <w:rFonts w:ascii="Calibri" w:eastAsia="Times New Roman" w:hAnsi="Calibri" w:cs="Calibri"/>
                <w:b/>
                <w:bCs/>
              </w:rPr>
              <w:t>2017</w:t>
            </w:r>
          </w:p>
        </w:tc>
        <w:tc>
          <w:tcPr>
            <w:tcW w:w="920" w:type="dxa"/>
            <w:shd w:val="clear" w:color="D9E1F2" w:fill="D9E1F2"/>
            <w:noWrap/>
            <w:vAlign w:val="bottom"/>
            <w:hideMark/>
          </w:tcPr>
          <w:p w14:paraId="725CAD26" w14:textId="77777777" w:rsidR="00C70D1C" w:rsidRPr="00F658E7" w:rsidRDefault="00C70D1C" w:rsidP="0012782C">
            <w:pPr>
              <w:spacing w:after="0" w:line="240" w:lineRule="auto"/>
              <w:jc w:val="center"/>
              <w:rPr>
                <w:rFonts w:ascii="Calibri" w:eastAsia="Times New Roman" w:hAnsi="Calibri" w:cs="Calibri"/>
                <w:b/>
                <w:bCs/>
              </w:rPr>
            </w:pPr>
            <w:r w:rsidRPr="00F658E7">
              <w:rPr>
                <w:rFonts w:ascii="Calibri" w:eastAsia="Times New Roman" w:hAnsi="Calibri" w:cs="Calibri"/>
                <w:b/>
                <w:bCs/>
              </w:rPr>
              <w:t>2018</w:t>
            </w:r>
          </w:p>
        </w:tc>
        <w:tc>
          <w:tcPr>
            <w:tcW w:w="920" w:type="dxa"/>
            <w:shd w:val="clear" w:color="D9E1F2" w:fill="D9E1F2"/>
            <w:noWrap/>
            <w:vAlign w:val="bottom"/>
            <w:hideMark/>
          </w:tcPr>
          <w:p w14:paraId="686B7FD7" w14:textId="77777777" w:rsidR="00C70D1C" w:rsidRPr="00F658E7" w:rsidRDefault="00C70D1C" w:rsidP="0012782C">
            <w:pPr>
              <w:spacing w:after="0" w:line="240" w:lineRule="auto"/>
              <w:jc w:val="center"/>
              <w:rPr>
                <w:rFonts w:ascii="Calibri" w:eastAsia="Times New Roman" w:hAnsi="Calibri" w:cs="Calibri"/>
                <w:b/>
                <w:bCs/>
              </w:rPr>
            </w:pPr>
            <w:r w:rsidRPr="00F658E7">
              <w:rPr>
                <w:rFonts w:ascii="Calibri" w:eastAsia="Times New Roman" w:hAnsi="Calibri" w:cs="Calibri"/>
                <w:b/>
                <w:bCs/>
              </w:rPr>
              <w:t>2019</w:t>
            </w:r>
          </w:p>
        </w:tc>
        <w:tc>
          <w:tcPr>
            <w:tcW w:w="920" w:type="dxa"/>
            <w:shd w:val="clear" w:color="D9E1F2" w:fill="D9E1F2"/>
            <w:noWrap/>
            <w:vAlign w:val="bottom"/>
            <w:hideMark/>
          </w:tcPr>
          <w:p w14:paraId="7F1450D0" w14:textId="77777777" w:rsidR="00C70D1C" w:rsidRPr="00F658E7" w:rsidRDefault="00C70D1C" w:rsidP="0012782C">
            <w:pPr>
              <w:spacing w:after="0" w:line="240" w:lineRule="auto"/>
              <w:jc w:val="center"/>
              <w:rPr>
                <w:rFonts w:ascii="Calibri" w:eastAsia="Times New Roman" w:hAnsi="Calibri" w:cs="Calibri"/>
                <w:b/>
                <w:bCs/>
              </w:rPr>
            </w:pPr>
            <w:r w:rsidRPr="00F658E7">
              <w:rPr>
                <w:rFonts w:ascii="Calibri" w:eastAsia="Times New Roman" w:hAnsi="Calibri" w:cs="Calibri"/>
                <w:b/>
                <w:bCs/>
              </w:rPr>
              <w:t>2020</w:t>
            </w:r>
          </w:p>
        </w:tc>
        <w:tc>
          <w:tcPr>
            <w:tcW w:w="920" w:type="dxa"/>
            <w:shd w:val="clear" w:color="D9E1F2" w:fill="D9E1F2"/>
            <w:noWrap/>
            <w:vAlign w:val="bottom"/>
            <w:hideMark/>
          </w:tcPr>
          <w:p w14:paraId="496D497A" w14:textId="77777777" w:rsidR="00C70D1C" w:rsidRPr="00F658E7" w:rsidRDefault="00C70D1C" w:rsidP="0012782C">
            <w:pPr>
              <w:spacing w:after="0" w:line="240" w:lineRule="auto"/>
              <w:jc w:val="center"/>
              <w:rPr>
                <w:rFonts w:ascii="Calibri" w:eastAsia="Times New Roman" w:hAnsi="Calibri" w:cs="Calibri"/>
                <w:b/>
                <w:bCs/>
              </w:rPr>
            </w:pPr>
            <w:r w:rsidRPr="00F658E7">
              <w:rPr>
                <w:rFonts w:ascii="Calibri" w:eastAsia="Times New Roman" w:hAnsi="Calibri" w:cs="Calibri"/>
                <w:b/>
                <w:bCs/>
              </w:rPr>
              <w:t>2021</w:t>
            </w:r>
          </w:p>
        </w:tc>
        <w:tc>
          <w:tcPr>
            <w:tcW w:w="920" w:type="dxa"/>
            <w:shd w:val="clear" w:color="D9E1F2" w:fill="D9E1F2"/>
            <w:noWrap/>
            <w:vAlign w:val="bottom"/>
            <w:hideMark/>
          </w:tcPr>
          <w:p w14:paraId="00A8A85D" w14:textId="3D058ACB" w:rsidR="00C70D1C" w:rsidRPr="00F658E7" w:rsidRDefault="00C70D1C" w:rsidP="0012782C">
            <w:pPr>
              <w:spacing w:after="0" w:line="240" w:lineRule="auto"/>
              <w:jc w:val="center"/>
              <w:rPr>
                <w:rFonts w:ascii="Calibri" w:eastAsia="Times New Roman" w:hAnsi="Calibri" w:cs="Calibri"/>
                <w:b/>
                <w:bCs/>
              </w:rPr>
            </w:pPr>
            <w:r w:rsidRPr="00F658E7">
              <w:rPr>
                <w:rFonts w:ascii="Calibri" w:eastAsia="Times New Roman" w:hAnsi="Calibri" w:cs="Calibri"/>
                <w:b/>
                <w:bCs/>
              </w:rPr>
              <w:t>2022</w:t>
            </w:r>
            <w:r w:rsidR="00BD164E" w:rsidRPr="00F658E7">
              <w:rPr>
                <w:rFonts w:ascii="Calibri" w:eastAsia="Times New Roman" w:hAnsi="Calibri" w:cs="Calibri"/>
                <w:b/>
                <w:bCs/>
              </w:rPr>
              <w:t xml:space="preserve"> </w:t>
            </w:r>
            <w:r w:rsidRPr="00F658E7">
              <w:rPr>
                <w:rFonts w:ascii="Calibri" w:eastAsia="Times New Roman" w:hAnsi="Calibri" w:cs="Calibri"/>
                <w:b/>
                <w:bCs/>
              </w:rPr>
              <w:t>*</w:t>
            </w:r>
          </w:p>
        </w:tc>
      </w:tr>
      <w:tr w:rsidR="00C70D1C" w:rsidRPr="00D910F0" w14:paraId="1F61CACF" w14:textId="77777777" w:rsidTr="00E8336F">
        <w:trPr>
          <w:trHeight w:val="300"/>
        </w:trPr>
        <w:tc>
          <w:tcPr>
            <w:tcW w:w="2140" w:type="dxa"/>
            <w:shd w:val="clear" w:color="auto" w:fill="auto"/>
            <w:noWrap/>
            <w:vAlign w:val="bottom"/>
            <w:hideMark/>
          </w:tcPr>
          <w:p w14:paraId="46A6AF51" w14:textId="77777777" w:rsidR="00C70D1C" w:rsidRPr="00F658E7" w:rsidRDefault="00C70D1C" w:rsidP="0012782C">
            <w:pPr>
              <w:spacing w:after="0" w:line="240" w:lineRule="auto"/>
              <w:rPr>
                <w:rFonts w:ascii="Calibri" w:eastAsia="Times New Roman" w:hAnsi="Calibri" w:cs="Calibri"/>
              </w:rPr>
            </w:pPr>
            <w:r w:rsidRPr="00F658E7">
              <w:rPr>
                <w:rFonts w:ascii="Calibri" w:eastAsia="Times New Roman" w:hAnsi="Calibri" w:cs="Calibri"/>
              </w:rPr>
              <w:t>No</w:t>
            </w:r>
          </w:p>
        </w:tc>
        <w:tc>
          <w:tcPr>
            <w:tcW w:w="920" w:type="dxa"/>
            <w:shd w:val="clear" w:color="auto" w:fill="auto"/>
            <w:noWrap/>
            <w:vAlign w:val="bottom"/>
            <w:hideMark/>
          </w:tcPr>
          <w:p w14:paraId="03A0961D" w14:textId="77777777" w:rsidR="00C70D1C" w:rsidRPr="00F658E7" w:rsidRDefault="00C70D1C" w:rsidP="0012782C">
            <w:pPr>
              <w:spacing w:after="0" w:line="240" w:lineRule="auto"/>
              <w:jc w:val="right"/>
              <w:rPr>
                <w:rFonts w:ascii="Calibri" w:eastAsia="Times New Roman" w:hAnsi="Calibri" w:cs="Calibri"/>
              </w:rPr>
            </w:pPr>
            <w:r w:rsidRPr="00F658E7">
              <w:rPr>
                <w:rFonts w:ascii="Calibri" w:eastAsia="Times New Roman" w:hAnsi="Calibri" w:cs="Calibri"/>
              </w:rPr>
              <w:t>87.1%</w:t>
            </w:r>
          </w:p>
        </w:tc>
        <w:tc>
          <w:tcPr>
            <w:tcW w:w="920" w:type="dxa"/>
            <w:shd w:val="clear" w:color="auto" w:fill="auto"/>
            <w:noWrap/>
            <w:vAlign w:val="bottom"/>
            <w:hideMark/>
          </w:tcPr>
          <w:p w14:paraId="42AB884A" w14:textId="77777777" w:rsidR="00C70D1C" w:rsidRPr="00F658E7" w:rsidRDefault="00C70D1C" w:rsidP="0012782C">
            <w:pPr>
              <w:spacing w:after="0" w:line="240" w:lineRule="auto"/>
              <w:jc w:val="right"/>
              <w:rPr>
                <w:rFonts w:ascii="Calibri" w:eastAsia="Times New Roman" w:hAnsi="Calibri" w:cs="Calibri"/>
              </w:rPr>
            </w:pPr>
            <w:r w:rsidRPr="00F658E7">
              <w:rPr>
                <w:rFonts w:ascii="Calibri" w:eastAsia="Times New Roman" w:hAnsi="Calibri" w:cs="Calibri"/>
              </w:rPr>
              <w:t>86.4%</w:t>
            </w:r>
          </w:p>
        </w:tc>
        <w:tc>
          <w:tcPr>
            <w:tcW w:w="920" w:type="dxa"/>
            <w:shd w:val="clear" w:color="auto" w:fill="auto"/>
            <w:noWrap/>
            <w:vAlign w:val="bottom"/>
            <w:hideMark/>
          </w:tcPr>
          <w:p w14:paraId="499849BC" w14:textId="77777777" w:rsidR="00C70D1C" w:rsidRPr="00F658E7" w:rsidRDefault="00C70D1C" w:rsidP="0012782C">
            <w:pPr>
              <w:spacing w:after="0" w:line="240" w:lineRule="auto"/>
              <w:jc w:val="right"/>
              <w:rPr>
                <w:rFonts w:ascii="Calibri" w:eastAsia="Times New Roman" w:hAnsi="Calibri" w:cs="Calibri"/>
              </w:rPr>
            </w:pPr>
            <w:r w:rsidRPr="00F658E7">
              <w:rPr>
                <w:rFonts w:ascii="Calibri" w:eastAsia="Times New Roman" w:hAnsi="Calibri" w:cs="Calibri"/>
              </w:rPr>
              <w:t>87.6%</w:t>
            </w:r>
          </w:p>
        </w:tc>
        <w:tc>
          <w:tcPr>
            <w:tcW w:w="920" w:type="dxa"/>
            <w:shd w:val="clear" w:color="auto" w:fill="auto"/>
            <w:noWrap/>
            <w:vAlign w:val="bottom"/>
            <w:hideMark/>
          </w:tcPr>
          <w:p w14:paraId="72519CBE" w14:textId="77777777" w:rsidR="00C70D1C" w:rsidRPr="00F658E7" w:rsidRDefault="00C70D1C" w:rsidP="0012782C">
            <w:pPr>
              <w:spacing w:after="0" w:line="240" w:lineRule="auto"/>
              <w:jc w:val="right"/>
              <w:rPr>
                <w:rFonts w:ascii="Calibri" w:eastAsia="Times New Roman" w:hAnsi="Calibri" w:cs="Calibri"/>
              </w:rPr>
            </w:pPr>
            <w:r w:rsidRPr="00F658E7">
              <w:rPr>
                <w:rFonts w:ascii="Calibri" w:eastAsia="Times New Roman" w:hAnsi="Calibri" w:cs="Calibri"/>
              </w:rPr>
              <w:t>87.6%</w:t>
            </w:r>
          </w:p>
        </w:tc>
        <w:tc>
          <w:tcPr>
            <w:tcW w:w="920" w:type="dxa"/>
            <w:shd w:val="clear" w:color="auto" w:fill="auto"/>
            <w:noWrap/>
            <w:vAlign w:val="bottom"/>
            <w:hideMark/>
          </w:tcPr>
          <w:p w14:paraId="3FF710FF" w14:textId="77777777" w:rsidR="00C70D1C" w:rsidRPr="00F658E7" w:rsidRDefault="00C70D1C" w:rsidP="0012782C">
            <w:pPr>
              <w:spacing w:after="0" w:line="240" w:lineRule="auto"/>
              <w:jc w:val="right"/>
              <w:rPr>
                <w:rFonts w:ascii="Calibri" w:eastAsia="Times New Roman" w:hAnsi="Calibri" w:cs="Calibri"/>
              </w:rPr>
            </w:pPr>
            <w:r w:rsidRPr="00F658E7">
              <w:rPr>
                <w:rFonts w:ascii="Calibri" w:eastAsia="Times New Roman" w:hAnsi="Calibri" w:cs="Calibri"/>
              </w:rPr>
              <w:t>86.1%</w:t>
            </w:r>
          </w:p>
        </w:tc>
        <w:tc>
          <w:tcPr>
            <w:tcW w:w="920" w:type="dxa"/>
            <w:shd w:val="clear" w:color="auto" w:fill="auto"/>
            <w:noWrap/>
            <w:vAlign w:val="bottom"/>
            <w:hideMark/>
          </w:tcPr>
          <w:p w14:paraId="0453D6BD" w14:textId="77777777" w:rsidR="00C70D1C" w:rsidRPr="00F658E7" w:rsidRDefault="00C70D1C" w:rsidP="0012782C">
            <w:pPr>
              <w:spacing w:after="0" w:line="240" w:lineRule="auto"/>
              <w:jc w:val="right"/>
              <w:rPr>
                <w:rFonts w:ascii="Calibri" w:eastAsia="Times New Roman" w:hAnsi="Calibri" w:cs="Calibri"/>
              </w:rPr>
            </w:pPr>
            <w:r w:rsidRPr="00F658E7">
              <w:rPr>
                <w:rFonts w:ascii="Calibri" w:eastAsia="Times New Roman" w:hAnsi="Calibri" w:cs="Calibri"/>
              </w:rPr>
              <w:t>84.6%</w:t>
            </w:r>
          </w:p>
        </w:tc>
      </w:tr>
      <w:tr w:rsidR="00C70D1C" w:rsidRPr="00D910F0" w14:paraId="01FFB8B2" w14:textId="77777777" w:rsidTr="00E8336F">
        <w:trPr>
          <w:trHeight w:val="300"/>
        </w:trPr>
        <w:tc>
          <w:tcPr>
            <w:tcW w:w="2140" w:type="dxa"/>
            <w:shd w:val="clear" w:color="auto" w:fill="auto"/>
            <w:noWrap/>
            <w:vAlign w:val="bottom"/>
            <w:hideMark/>
          </w:tcPr>
          <w:p w14:paraId="05AE18E1" w14:textId="77777777" w:rsidR="00C70D1C" w:rsidRPr="00F658E7" w:rsidRDefault="00C70D1C" w:rsidP="0012782C">
            <w:pPr>
              <w:spacing w:after="0" w:line="240" w:lineRule="auto"/>
              <w:rPr>
                <w:rFonts w:ascii="Calibri" w:eastAsia="Times New Roman" w:hAnsi="Calibri" w:cs="Calibri"/>
              </w:rPr>
            </w:pPr>
            <w:r w:rsidRPr="00F658E7">
              <w:rPr>
                <w:rFonts w:ascii="Calibri" w:eastAsia="Times New Roman" w:hAnsi="Calibri" w:cs="Calibri"/>
              </w:rPr>
              <w:t>Yes</w:t>
            </w:r>
          </w:p>
        </w:tc>
        <w:tc>
          <w:tcPr>
            <w:tcW w:w="920" w:type="dxa"/>
            <w:shd w:val="clear" w:color="auto" w:fill="auto"/>
            <w:noWrap/>
            <w:vAlign w:val="bottom"/>
            <w:hideMark/>
          </w:tcPr>
          <w:p w14:paraId="02FD33A1" w14:textId="77777777" w:rsidR="00C70D1C" w:rsidRPr="00F658E7" w:rsidRDefault="00C70D1C" w:rsidP="0012782C">
            <w:pPr>
              <w:spacing w:after="0" w:line="240" w:lineRule="auto"/>
              <w:jc w:val="right"/>
              <w:rPr>
                <w:rFonts w:ascii="Calibri" w:eastAsia="Times New Roman" w:hAnsi="Calibri" w:cs="Calibri"/>
              </w:rPr>
            </w:pPr>
            <w:r w:rsidRPr="00F658E7">
              <w:rPr>
                <w:rFonts w:ascii="Calibri" w:eastAsia="Times New Roman" w:hAnsi="Calibri" w:cs="Calibri"/>
              </w:rPr>
              <w:t>79.9%</w:t>
            </w:r>
          </w:p>
        </w:tc>
        <w:tc>
          <w:tcPr>
            <w:tcW w:w="920" w:type="dxa"/>
            <w:shd w:val="clear" w:color="auto" w:fill="auto"/>
            <w:noWrap/>
            <w:vAlign w:val="bottom"/>
            <w:hideMark/>
          </w:tcPr>
          <w:p w14:paraId="46B24A54" w14:textId="77777777" w:rsidR="00C70D1C" w:rsidRPr="00F658E7" w:rsidRDefault="00C70D1C" w:rsidP="0012782C">
            <w:pPr>
              <w:spacing w:after="0" w:line="240" w:lineRule="auto"/>
              <w:jc w:val="right"/>
              <w:rPr>
                <w:rFonts w:ascii="Calibri" w:eastAsia="Times New Roman" w:hAnsi="Calibri" w:cs="Calibri"/>
              </w:rPr>
            </w:pPr>
            <w:r w:rsidRPr="00F658E7">
              <w:rPr>
                <w:rFonts w:ascii="Calibri" w:eastAsia="Times New Roman" w:hAnsi="Calibri" w:cs="Calibri"/>
              </w:rPr>
              <w:t>78.1%</w:t>
            </w:r>
          </w:p>
        </w:tc>
        <w:tc>
          <w:tcPr>
            <w:tcW w:w="920" w:type="dxa"/>
            <w:shd w:val="clear" w:color="auto" w:fill="auto"/>
            <w:noWrap/>
            <w:vAlign w:val="bottom"/>
            <w:hideMark/>
          </w:tcPr>
          <w:p w14:paraId="40DA641E" w14:textId="77777777" w:rsidR="00C70D1C" w:rsidRPr="00F658E7" w:rsidRDefault="00C70D1C" w:rsidP="0012782C">
            <w:pPr>
              <w:spacing w:after="0" w:line="240" w:lineRule="auto"/>
              <w:jc w:val="right"/>
              <w:rPr>
                <w:rFonts w:ascii="Calibri" w:eastAsia="Times New Roman" w:hAnsi="Calibri" w:cs="Calibri"/>
              </w:rPr>
            </w:pPr>
            <w:r w:rsidRPr="00F658E7">
              <w:rPr>
                <w:rFonts w:ascii="Calibri" w:eastAsia="Times New Roman" w:hAnsi="Calibri" w:cs="Calibri"/>
              </w:rPr>
              <w:t>79.7%</w:t>
            </w:r>
          </w:p>
        </w:tc>
        <w:tc>
          <w:tcPr>
            <w:tcW w:w="920" w:type="dxa"/>
            <w:shd w:val="clear" w:color="auto" w:fill="auto"/>
            <w:noWrap/>
            <w:vAlign w:val="bottom"/>
            <w:hideMark/>
          </w:tcPr>
          <w:p w14:paraId="153F9716" w14:textId="77777777" w:rsidR="00C70D1C" w:rsidRPr="00F658E7" w:rsidRDefault="00C70D1C" w:rsidP="0012782C">
            <w:pPr>
              <w:spacing w:after="0" w:line="240" w:lineRule="auto"/>
              <w:jc w:val="right"/>
              <w:rPr>
                <w:rFonts w:ascii="Calibri" w:eastAsia="Times New Roman" w:hAnsi="Calibri" w:cs="Calibri"/>
              </w:rPr>
            </w:pPr>
            <w:r w:rsidRPr="00F658E7">
              <w:rPr>
                <w:rFonts w:ascii="Calibri" w:eastAsia="Times New Roman" w:hAnsi="Calibri" w:cs="Calibri"/>
              </w:rPr>
              <w:t>77.4%</w:t>
            </w:r>
          </w:p>
        </w:tc>
        <w:tc>
          <w:tcPr>
            <w:tcW w:w="920" w:type="dxa"/>
            <w:shd w:val="clear" w:color="auto" w:fill="auto"/>
            <w:noWrap/>
            <w:vAlign w:val="bottom"/>
            <w:hideMark/>
          </w:tcPr>
          <w:p w14:paraId="4393E5B5" w14:textId="77777777" w:rsidR="00C70D1C" w:rsidRPr="00F658E7" w:rsidRDefault="00C70D1C" w:rsidP="0012782C">
            <w:pPr>
              <w:spacing w:after="0" w:line="240" w:lineRule="auto"/>
              <w:jc w:val="right"/>
              <w:rPr>
                <w:rFonts w:ascii="Calibri" w:eastAsia="Times New Roman" w:hAnsi="Calibri" w:cs="Calibri"/>
              </w:rPr>
            </w:pPr>
            <w:r w:rsidRPr="00F658E7">
              <w:rPr>
                <w:rFonts w:ascii="Calibri" w:eastAsia="Times New Roman" w:hAnsi="Calibri" w:cs="Calibri"/>
              </w:rPr>
              <w:t>77.8%</w:t>
            </w:r>
          </w:p>
        </w:tc>
        <w:tc>
          <w:tcPr>
            <w:tcW w:w="920" w:type="dxa"/>
            <w:shd w:val="clear" w:color="auto" w:fill="auto"/>
            <w:noWrap/>
            <w:vAlign w:val="bottom"/>
            <w:hideMark/>
          </w:tcPr>
          <w:p w14:paraId="1BE02BDF" w14:textId="77777777" w:rsidR="00C70D1C" w:rsidRPr="00F658E7" w:rsidRDefault="00C70D1C" w:rsidP="0012782C">
            <w:pPr>
              <w:spacing w:after="0" w:line="240" w:lineRule="auto"/>
              <w:jc w:val="right"/>
              <w:rPr>
                <w:rFonts w:ascii="Calibri" w:eastAsia="Times New Roman" w:hAnsi="Calibri" w:cs="Calibri"/>
              </w:rPr>
            </w:pPr>
            <w:r w:rsidRPr="00F658E7">
              <w:rPr>
                <w:rFonts w:ascii="Calibri" w:eastAsia="Times New Roman" w:hAnsi="Calibri" w:cs="Calibri"/>
              </w:rPr>
              <w:t>78.6%</w:t>
            </w:r>
          </w:p>
        </w:tc>
      </w:tr>
    </w:tbl>
    <w:p w14:paraId="1F89014E" w14:textId="6603BDF6" w:rsidR="00C70D1C" w:rsidRPr="00F658E7" w:rsidRDefault="00C70D1C" w:rsidP="0012782C">
      <w:pPr>
        <w:pStyle w:val="Default"/>
        <w:rPr>
          <w:rFonts w:ascii="Calibri" w:hAnsi="Calibri" w:cs="Calibri"/>
          <w:b/>
          <w:bCs/>
          <w:color w:val="auto"/>
          <w:sz w:val="22"/>
          <w:szCs w:val="22"/>
          <w:shd w:val="clear" w:color="auto" w:fill="FFFFFF"/>
        </w:rPr>
      </w:pPr>
    </w:p>
    <w:p w14:paraId="617621A0" w14:textId="18AA6C62" w:rsidR="00DA7156" w:rsidRPr="00F658E7" w:rsidRDefault="00DA7156" w:rsidP="0012782C">
      <w:pPr>
        <w:pStyle w:val="Default"/>
        <w:rPr>
          <w:rFonts w:ascii="Calibri" w:eastAsia="Times New Roman" w:hAnsi="Calibri" w:cs="Calibri"/>
          <w:color w:val="auto"/>
          <w:sz w:val="22"/>
          <w:szCs w:val="22"/>
        </w:rPr>
      </w:pPr>
      <w:r w:rsidRPr="00F658E7">
        <w:rPr>
          <w:rFonts w:ascii="Calibri" w:eastAsia="Times New Roman" w:hAnsi="Calibri" w:cs="Calibri"/>
          <w:color w:val="auto"/>
          <w:sz w:val="22"/>
          <w:szCs w:val="22"/>
        </w:rPr>
        <w:t xml:space="preserve">Table </w:t>
      </w:r>
      <w:r w:rsidR="007538B0" w:rsidRPr="00F658E7">
        <w:rPr>
          <w:rFonts w:ascii="Calibri" w:eastAsia="Times New Roman" w:hAnsi="Calibri" w:cs="Calibri"/>
          <w:color w:val="auto"/>
          <w:sz w:val="22"/>
          <w:szCs w:val="22"/>
        </w:rPr>
        <w:t xml:space="preserve">6 </w:t>
      </w:r>
      <w:r w:rsidRPr="00F658E7">
        <w:rPr>
          <w:rFonts w:ascii="Calibri" w:eastAsia="Times New Roman" w:hAnsi="Calibri" w:cs="Calibri"/>
          <w:color w:val="auto"/>
          <w:sz w:val="22"/>
          <w:szCs w:val="22"/>
        </w:rPr>
        <w:t>shows that pass rates for all students with a disability were approximately 8-9% lower than for students without a disability</w:t>
      </w:r>
      <w:r w:rsidR="004547A7" w:rsidRPr="00F658E7">
        <w:rPr>
          <w:rFonts w:ascii="Calibri" w:eastAsia="Times New Roman" w:hAnsi="Calibri" w:cs="Calibri"/>
          <w:color w:val="auto"/>
          <w:sz w:val="22"/>
          <w:szCs w:val="22"/>
        </w:rPr>
        <w:t xml:space="preserve">, </w:t>
      </w:r>
      <w:r w:rsidRPr="00F658E7">
        <w:rPr>
          <w:rFonts w:ascii="Calibri" w:eastAsia="Times New Roman" w:hAnsi="Calibri" w:cs="Calibri"/>
          <w:color w:val="auto"/>
          <w:sz w:val="22"/>
          <w:szCs w:val="22"/>
        </w:rPr>
        <w:t xml:space="preserve">indicating a significant equity gap. This </w:t>
      </w:r>
      <w:r w:rsidR="00C75030" w:rsidRPr="00F658E7">
        <w:rPr>
          <w:rFonts w:ascii="Calibri" w:eastAsia="Times New Roman" w:hAnsi="Calibri" w:cs="Calibri"/>
          <w:color w:val="auto"/>
          <w:sz w:val="22"/>
          <w:szCs w:val="22"/>
        </w:rPr>
        <w:t>equity gap has</w:t>
      </w:r>
      <w:r w:rsidRPr="00F658E7">
        <w:rPr>
          <w:rFonts w:ascii="Calibri" w:eastAsia="Times New Roman" w:hAnsi="Calibri" w:cs="Calibri"/>
          <w:color w:val="auto"/>
          <w:sz w:val="22"/>
          <w:szCs w:val="22"/>
        </w:rPr>
        <w:t xml:space="preserve"> remained constant over the past five years</w:t>
      </w:r>
      <w:r w:rsidR="00C835D5" w:rsidRPr="00F658E7">
        <w:rPr>
          <w:rFonts w:ascii="Calibri" w:eastAsia="Times New Roman" w:hAnsi="Calibri" w:cs="Calibri"/>
          <w:color w:val="auto"/>
          <w:sz w:val="22"/>
          <w:szCs w:val="22"/>
        </w:rPr>
        <w:t xml:space="preserve"> </w:t>
      </w:r>
      <w:r w:rsidRPr="00F658E7">
        <w:rPr>
          <w:rFonts w:ascii="Calibri" w:eastAsia="Times New Roman" w:hAnsi="Calibri" w:cs="Calibri"/>
          <w:color w:val="auto"/>
          <w:sz w:val="22"/>
          <w:szCs w:val="22"/>
        </w:rPr>
        <w:t>and needs to be addressed urgently.</w:t>
      </w:r>
    </w:p>
    <w:p w14:paraId="4F671A1C" w14:textId="41DBC8E2" w:rsidR="00EC20A2" w:rsidRPr="00F658E7" w:rsidRDefault="00BD164E" w:rsidP="0012782C">
      <w:pPr>
        <w:spacing w:before="240" w:line="240" w:lineRule="auto"/>
        <w:rPr>
          <w:rFonts w:ascii="Calibri" w:hAnsi="Calibri" w:cs="Calibri"/>
          <w:b/>
          <w:bCs/>
          <w:shd w:val="clear" w:color="auto" w:fill="FFFFFF"/>
        </w:rPr>
      </w:pPr>
      <w:r w:rsidRPr="00F658E7">
        <w:rPr>
          <w:rFonts w:ascii="Calibri" w:hAnsi="Calibri" w:cs="Calibri"/>
          <w:b/>
          <w:bCs/>
          <w:shd w:val="clear" w:color="auto" w:fill="FFFFFF"/>
        </w:rPr>
        <w:t>TABLE</w:t>
      </w:r>
      <w:r w:rsidR="007538B0" w:rsidRPr="00F658E7">
        <w:rPr>
          <w:rFonts w:ascii="Calibri" w:hAnsi="Calibri" w:cs="Calibri"/>
          <w:b/>
          <w:bCs/>
          <w:shd w:val="clear" w:color="auto" w:fill="FFFFFF"/>
        </w:rPr>
        <w:t xml:space="preserve"> 7: Course completion rates by ethnicity (students who report a disability)</w:t>
      </w:r>
    </w:p>
    <w:tbl>
      <w:tblPr>
        <w:tblW w:w="7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920"/>
        <w:gridCol w:w="920"/>
        <w:gridCol w:w="920"/>
        <w:gridCol w:w="920"/>
        <w:gridCol w:w="920"/>
        <w:gridCol w:w="920"/>
      </w:tblGrid>
      <w:tr w:rsidR="007538B0" w:rsidRPr="00D910F0" w14:paraId="3629B658" w14:textId="77777777" w:rsidTr="00BD164E">
        <w:trPr>
          <w:trHeight w:val="300"/>
        </w:trPr>
        <w:tc>
          <w:tcPr>
            <w:tcW w:w="2140" w:type="dxa"/>
            <w:shd w:val="clear" w:color="D9E1F2" w:fill="D9E1F2"/>
            <w:noWrap/>
            <w:vAlign w:val="bottom"/>
            <w:hideMark/>
          </w:tcPr>
          <w:p w14:paraId="6F9D3683" w14:textId="28C1985E" w:rsidR="007538B0" w:rsidRPr="00F658E7" w:rsidRDefault="007538B0" w:rsidP="0012782C">
            <w:pPr>
              <w:spacing w:after="0" w:line="240" w:lineRule="auto"/>
              <w:rPr>
                <w:rFonts w:ascii="Calibri" w:eastAsia="Times New Roman" w:hAnsi="Calibri" w:cs="Calibri"/>
                <w:b/>
                <w:bCs/>
              </w:rPr>
            </w:pPr>
          </w:p>
        </w:tc>
        <w:tc>
          <w:tcPr>
            <w:tcW w:w="920" w:type="dxa"/>
            <w:shd w:val="clear" w:color="D9E1F2" w:fill="D9E1F2"/>
            <w:noWrap/>
            <w:vAlign w:val="bottom"/>
            <w:hideMark/>
          </w:tcPr>
          <w:p w14:paraId="7D4137D9" w14:textId="77777777" w:rsidR="007538B0" w:rsidRPr="00F658E7" w:rsidRDefault="007538B0" w:rsidP="0012782C">
            <w:pPr>
              <w:spacing w:after="0" w:line="240" w:lineRule="auto"/>
              <w:jc w:val="center"/>
              <w:rPr>
                <w:rFonts w:ascii="Calibri" w:eastAsia="Times New Roman" w:hAnsi="Calibri" w:cs="Calibri"/>
                <w:b/>
                <w:bCs/>
              </w:rPr>
            </w:pPr>
            <w:r w:rsidRPr="00F658E7">
              <w:rPr>
                <w:rFonts w:ascii="Calibri" w:eastAsia="Times New Roman" w:hAnsi="Calibri" w:cs="Calibri"/>
                <w:b/>
                <w:bCs/>
              </w:rPr>
              <w:t>2017</w:t>
            </w:r>
          </w:p>
        </w:tc>
        <w:tc>
          <w:tcPr>
            <w:tcW w:w="920" w:type="dxa"/>
            <w:shd w:val="clear" w:color="D9E1F2" w:fill="D9E1F2"/>
            <w:noWrap/>
            <w:vAlign w:val="bottom"/>
            <w:hideMark/>
          </w:tcPr>
          <w:p w14:paraId="4A088521" w14:textId="77777777" w:rsidR="007538B0" w:rsidRPr="00F658E7" w:rsidRDefault="007538B0" w:rsidP="0012782C">
            <w:pPr>
              <w:spacing w:after="0" w:line="240" w:lineRule="auto"/>
              <w:jc w:val="center"/>
              <w:rPr>
                <w:rFonts w:ascii="Calibri" w:eastAsia="Times New Roman" w:hAnsi="Calibri" w:cs="Calibri"/>
                <w:b/>
                <w:bCs/>
              </w:rPr>
            </w:pPr>
            <w:r w:rsidRPr="00F658E7">
              <w:rPr>
                <w:rFonts w:ascii="Calibri" w:eastAsia="Times New Roman" w:hAnsi="Calibri" w:cs="Calibri"/>
                <w:b/>
                <w:bCs/>
              </w:rPr>
              <w:t>2018</w:t>
            </w:r>
          </w:p>
        </w:tc>
        <w:tc>
          <w:tcPr>
            <w:tcW w:w="920" w:type="dxa"/>
            <w:shd w:val="clear" w:color="D9E1F2" w:fill="D9E1F2"/>
            <w:noWrap/>
            <w:vAlign w:val="bottom"/>
            <w:hideMark/>
          </w:tcPr>
          <w:p w14:paraId="43E82239" w14:textId="77777777" w:rsidR="007538B0" w:rsidRPr="00F658E7" w:rsidRDefault="007538B0" w:rsidP="0012782C">
            <w:pPr>
              <w:spacing w:after="0" w:line="240" w:lineRule="auto"/>
              <w:jc w:val="center"/>
              <w:rPr>
                <w:rFonts w:ascii="Calibri" w:eastAsia="Times New Roman" w:hAnsi="Calibri" w:cs="Calibri"/>
                <w:b/>
                <w:bCs/>
              </w:rPr>
            </w:pPr>
            <w:r w:rsidRPr="00F658E7">
              <w:rPr>
                <w:rFonts w:ascii="Calibri" w:eastAsia="Times New Roman" w:hAnsi="Calibri" w:cs="Calibri"/>
                <w:b/>
                <w:bCs/>
              </w:rPr>
              <w:t>2019</w:t>
            </w:r>
          </w:p>
        </w:tc>
        <w:tc>
          <w:tcPr>
            <w:tcW w:w="920" w:type="dxa"/>
            <w:shd w:val="clear" w:color="D9E1F2" w:fill="D9E1F2"/>
            <w:noWrap/>
            <w:vAlign w:val="bottom"/>
            <w:hideMark/>
          </w:tcPr>
          <w:p w14:paraId="3B75B960" w14:textId="77777777" w:rsidR="007538B0" w:rsidRPr="00F658E7" w:rsidRDefault="007538B0" w:rsidP="0012782C">
            <w:pPr>
              <w:spacing w:after="0" w:line="240" w:lineRule="auto"/>
              <w:jc w:val="center"/>
              <w:rPr>
                <w:rFonts w:ascii="Calibri" w:eastAsia="Times New Roman" w:hAnsi="Calibri" w:cs="Calibri"/>
                <w:b/>
                <w:bCs/>
              </w:rPr>
            </w:pPr>
            <w:r w:rsidRPr="00F658E7">
              <w:rPr>
                <w:rFonts w:ascii="Calibri" w:eastAsia="Times New Roman" w:hAnsi="Calibri" w:cs="Calibri"/>
                <w:b/>
                <w:bCs/>
              </w:rPr>
              <w:t>2020</w:t>
            </w:r>
          </w:p>
        </w:tc>
        <w:tc>
          <w:tcPr>
            <w:tcW w:w="920" w:type="dxa"/>
            <w:shd w:val="clear" w:color="D9E1F2" w:fill="D9E1F2"/>
            <w:noWrap/>
            <w:vAlign w:val="bottom"/>
            <w:hideMark/>
          </w:tcPr>
          <w:p w14:paraId="2E557B75" w14:textId="77777777" w:rsidR="007538B0" w:rsidRPr="00F658E7" w:rsidRDefault="007538B0" w:rsidP="0012782C">
            <w:pPr>
              <w:spacing w:after="0" w:line="240" w:lineRule="auto"/>
              <w:jc w:val="center"/>
              <w:rPr>
                <w:rFonts w:ascii="Calibri" w:eastAsia="Times New Roman" w:hAnsi="Calibri" w:cs="Calibri"/>
                <w:b/>
                <w:bCs/>
              </w:rPr>
            </w:pPr>
            <w:r w:rsidRPr="00F658E7">
              <w:rPr>
                <w:rFonts w:ascii="Calibri" w:eastAsia="Times New Roman" w:hAnsi="Calibri" w:cs="Calibri"/>
                <w:b/>
                <w:bCs/>
              </w:rPr>
              <w:t>2021</w:t>
            </w:r>
          </w:p>
        </w:tc>
        <w:tc>
          <w:tcPr>
            <w:tcW w:w="920" w:type="dxa"/>
            <w:shd w:val="clear" w:color="D9E1F2" w:fill="D9E1F2"/>
            <w:noWrap/>
            <w:vAlign w:val="bottom"/>
            <w:hideMark/>
          </w:tcPr>
          <w:p w14:paraId="56DAC2C1" w14:textId="77777777" w:rsidR="00BD164E" w:rsidRPr="00F658E7" w:rsidRDefault="007538B0" w:rsidP="0012782C">
            <w:pPr>
              <w:spacing w:after="0" w:line="240" w:lineRule="auto"/>
              <w:jc w:val="center"/>
              <w:rPr>
                <w:rFonts w:ascii="Calibri" w:eastAsia="Times New Roman" w:hAnsi="Calibri" w:cs="Calibri"/>
                <w:b/>
                <w:bCs/>
              </w:rPr>
            </w:pPr>
            <w:r w:rsidRPr="00F658E7">
              <w:rPr>
                <w:rFonts w:ascii="Calibri" w:eastAsia="Times New Roman" w:hAnsi="Calibri" w:cs="Calibri"/>
                <w:b/>
                <w:bCs/>
              </w:rPr>
              <w:t>2022</w:t>
            </w:r>
          </w:p>
          <w:p w14:paraId="206DFA58" w14:textId="5D0CAEE3" w:rsidR="007538B0" w:rsidRPr="00F658E7" w:rsidRDefault="007538B0" w:rsidP="0012782C">
            <w:pPr>
              <w:spacing w:after="0" w:line="240" w:lineRule="auto"/>
              <w:jc w:val="center"/>
              <w:rPr>
                <w:rFonts w:ascii="Calibri" w:eastAsia="Times New Roman" w:hAnsi="Calibri" w:cs="Calibri"/>
                <w:b/>
                <w:bCs/>
              </w:rPr>
            </w:pPr>
            <w:r w:rsidRPr="00F658E7">
              <w:rPr>
                <w:rFonts w:ascii="Calibri" w:eastAsia="Times New Roman" w:hAnsi="Calibri" w:cs="Calibri"/>
                <w:b/>
                <w:bCs/>
              </w:rPr>
              <w:t>*</w:t>
            </w:r>
          </w:p>
        </w:tc>
      </w:tr>
      <w:tr w:rsidR="007538B0" w:rsidRPr="00D910F0" w14:paraId="0561F0F9" w14:textId="77777777" w:rsidTr="00F658E7">
        <w:trPr>
          <w:trHeight w:val="300"/>
        </w:trPr>
        <w:tc>
          <w:tcPr>
            <w:tcW w:w="2140" w:type="dxa"/>
            <w:shd w:val="clear" w:color="auto" w:fill="auto"/>
            <w:noWrap/>
            <w:vAlign w:val="bottom"/>
            <w:hideMark/>
          </w:tcPr>
          <w:p w14:paraId="79452688" w14:textId="3A5D8828" w:rsidR="007538B0" w:rsidRPr="00F658E7" w:rsidRDefault="007538B0" w:rsidP="0012782C">
            <w:pPr>
              <w:spacing w:after="0" w:line="240" w:lineRule="auto"/>
              <w:rPr>
                <w:rFonts w:ascii="Calibri" w:eastAsia="Times New Roman" w:hAnsi="Calibri" w:cs="Calibri"/>
              </w:rPr>
            </w:pPr>
            <w:r w:rsidRPr="00F658E7">
              <w:rPr>
                <w:rFonts w:ascii="Calibri" w:eastAsia="Times New Roman" w:hAnsi="Calibri" w:cs="Calibri"/>
              </w:rPr>
              <w:t>Māori</w:t>
            </w:r>
          </w:p>
        </w:tc>
        <w:tc>
          <w:tcPr>
            <w:tcW w:w="920" w:type="dxa"/>
            <w:shd w:val="clear" w:color="auto" w:fill="auto"/>
            <w:noWrap/>
            <w:vAlign w:val="bottom"/>
          </w:tcPr>
          <w:p w14:paraId="6CE42411" w14:textId="6B94F0AC" w:rsidR="007538B0" w:rsidRPr="00F658E7" w:rsidRDefault="00BD164E" w:rsidP="0012782C">
            <w:pPr>
              <w:spacing w:after="0" w:line="240" w:lineRule="auto"/>
              <w:jc w:val="right"/>
              <w:rPr>
                <w:rFonts w:ascii="Calibri" w:eastAsia="Times New Roman" w:hAnsi="Calibri" w:cs="Calibri"/>
              </w:rPr>
            </w:pPr>
            <w:r w:rsidRPr="00F658E7">
              <w:rPr>
                <w:rFonts w:ascii="Calibri" w:eastAsia="Times New Roman" w:hAnsi="Calibri" w:cs="Calibri"/>
              </w:rPr>
              <w:t>73.9%</w:t>
            </w:r>
          </w:p>
        </w:tc>
        <w:tc>
          <w:tcPr>
            <w:tcW w:w="920" w:type="dxa"/>
            <w:shd w:val="clear" w:color="auto" w:fill="auto"/>
            <w:noWrap/>
            <w:vAlign w:val="bottom"/>
          </w:tcPr>
          <w:p w14:paraId="07489957" w14:textId="626D4FDF" w:rsidR="007538B0" w:rsidRPr="00F658E7" w:rsidRDefault="00BD164E" w:rsidP="0012782C">
            <w:pPr>
              <w:spacing w:after="0" w:line="240" w:lineRule="auto"/>
              <w:jc w:val="right"/>
              <w:rPr>
                <w:rFonts w:ascii="Calibri" w:eastAsia="Times New Roman" w:hAnsi="Calibri" w:cs="Calibri"/>
              </w:rPr>
            </w:pPr>
            <w:r w:rsidRPr="00F658E7">
              <w:rPr>
                <w:rFonts w:ascii="Calibri" w:eastAsia="Times New Roman" w:hAnsi="Calibri" w:cs="Calibri"/>
              </w:rPr>
              <w:t>74.2%</w:t>
            </w:r>
          </w:p>
        </w:tc>
        <w:tc>
          <w:tcPr>
            <w:tcW w:w="920" w:type="dxa"/>
            <w:shd w:val="clear" w:color="auto" w:fill="auto"/>
            <w:noWrap/>
            <w:vAlign w:val="bottom"/>
          </w:tcPr>
          <w:p w14:paraId="072F4725" w14:textId="63FFEDAA" w:rsidR="007538B0" w:rsidRPr="00F658E7" w:rsidRDefault="00BD164E" w:rsidP="0012782C">
            <w:pPr>
              <w:spacing w:after="0" w:line="240" w:lineRule="auto"/>
              <w:jc w:val="right"/>
              <w:rPr>
                <w:rFonts w:ascii="Calibri" w:eastAsia="Times New Roman" w:hAnsi="Calibri" w:cs="Calibri"/>
              </w:rPr>
            </w:pPr>
            <w:r w:rsidRPr="00F658E7">
              <w:rPr>
                <w:rFonts w:ascii="Calibri" w:eastAsia="Times New Roman" w:hAnsi="Calibri" w:cs="Calibri"/>
              </w:rPr>
              <w:t>74.3%</w:t>
            </w:r>
          </w:p>
        </w:tc>
        <w:tc>
          <w:tcPr>
            <w:tcW w:w="920" w:type="dxa"/>
            <w:shd w:val="clear" w:color="auto" w:fill="auto"/>
            <w:noWrap/>
            <w:vAlign w:val="bottom"/>
          </w:tcPr>
          <w:p w14:paraId="3BC9142F" w14:textId="3F44D434" w:rsidR="007538B0" w:rsidRPr="00F658E7" w:rsidRDefault="00BD164E" w:rsidP="0012782C">
            <w:pPr>
              <w:spacing w:after="0" w:line="240" w:lineRule="auto"/>
              <w:jc w:val="right"/>
              <w:rPr>
                <w:rFonts w:ascii="Calibri" w:eastAsia="Times New Roman" w:hAnsi="Calibri" w:cs="Calibri"/>
              </w:rPr>
            </w:pPr>
            <w:r w:rsidRPr="00F658E7">
              <w:rPr>
                <w:rFonts w:ascii="Calibri" w:eastAsia="Times New Roman" w:hAnsi="Calibri" w:cs="Calibri"/>
              </w:rPr>
              <w:t>72.8%</w:t>
            </w:r>
          </w:p>
        </w:tc>
        <w:tc>
          <w:tcPr>
            <w:tcW w:w="920" w:type="dxa"/>
            <w:shd w:val="clear" w:color="auto" w:fill="auto"/>
            <w:noWrap/>
            <w:vAlign w:val="bottom"/>
          </w:tcPr>
          <w:p w14:paraId="2C181C54" w14:textId="62CB7230" w:rsidR="007538B0" w:rsidRPr="00F658E7" w:rsidRDefault="00BD164E" w:rsidP="0012782C">
            <w:pPr>
              <w:spacing w:after="0" w:line="240" w:lineRule="auto"/>
              <w:jc w:val="right"/>
              <w:rPr>
                <w:rFonts w:ascii="Calibri" w:eastAsia="Times New Roman" w:hAnsi="Calibri" w:cs="Calibri"/>
              </w:rPr>
            </w:pPr>
            <w:r w:rsidRPr="00F658E7">
              <w:rPr>
                <w:rFonts w:ascii="Calibri" w:eastAsia="Times New Roman" w:hAnsi="Calibri" w:cs="Calibri"/>
              </w:rPr>
              <w:t>72.4%</w:t>
            </w:r>
          </w:p>
        </w:tc>
        <w:tc>
          <w:tcPr>
            <w:tcW w:w="920" w:type="dxa"/>
            <w:shd w:val="clear" w:color="auto" w:fill="auto"/>
            <w:noWrap/>
            <w:vAlign w:val="bottom"/>
          </w:tcPr>
          <w:p w14:paraId="34038068" w14:textId="122D3785" w:rsidR="007538B0" w:rsidRPr="00F658E7" w:rsidRDefault="00BD164E" w:rsidP="0012782C">
            <w:pPr>
              <w:spacing w:after="0" w:line="240" w:lineRule="auto"/>
              <w:jc w:val="right"/>
              <w:rPr>
                <w:rFonts w:ascii="Calibri" w:eastAsia="Times New Roman" w:hAnsi="Calibri" w:cs="Calibri"/>
              </w:rPr>
            </w:pPr>
            <w:r w:rsidRPr="00F658E7">
              <w:rPr>
                <w:rFonts w:ascii="Calibri" w:eastAsia="Times New Roman" w:hAnsi="Calibri" w:cs="Calibri"/>
              </w:rPr>
              <w:t>71.2%</w:t>
            </w:r>
          </w:p>
        </w:tc>
      </w:tr>
      <w:tr w:rsidR="007538B0" w:rsidRPr="00D910F0" w14:paraId="72E1DEE7" w14:textId="77777777" w:rsidTr="00F658E7">
        <w:trPr>
          <w:trHeight w:val="300"/>
        </w:trPr>
        <w:tc>
          <w:tcPr>
            <w:tcW w:w="2140" w:type="dxa"/>
            <w:shd w:val="clear" w:color="auto" w:fill="auto"/>
            <w:noWrap/>
            <w:vAlign w:val="bottom"/>
            <w:hideMark/>
          </w:tcPr>
          <w:p w14:paraId="1966361C" w14:textId="61F0D452" w:rsidR="007538B0" w:rsidRPr="00F658E7" w:rsidRDefault="007538B0" w:rsidP="0012782C">
            <w:pPr>
              <w:spacing w:after="0" w:line="240" w:lineRule="auto"/>
              <w:rPr>
                <w:rFonts w:ascii="Calibri" w:eastAsia="Times New Roman" w:hAnsi="Calibri" w:cs="Calibri"/>
              </w:rPr>
            </w:pPr>
            <w:r w:rsidRPr="00F658E7">
              <w:rPr>
                <w:rFonts w:ascii="Calibri" w:eastAsia="Times New Roman" w:hAnsi="Calibri" w:cs="Calibri"/>
              </w:rPr>
              <w:t>Pacific</w:t>
            </w:r>
          </w:p>
        </w:tc>
        <w:tc>
          <w:tcPr>
            <w:tcW w:w="920" w:type="dxa"/>
            <w:shd w:val="clear" w:color="auto" w:fill="auto"/>
            <w:noWrap/>
            <w:vAlign w:val="bottom"/>
          </w:tcPr>
          <w:p w14:paraId="013685C0" w14:textId="63509AC0" w:rsidR="007538B0" w:rsidRPr="00F658E7" w:rsidRDefault="00BD164E" w:rsidP="0012782C">
            <w:pPr>
              <w:spacing w:after="0" w:line="240" w:lineRule="auto"/>
              <w:jc w:val="right"/>
              <w:rPr>
                <w:rFonts w:ascii="Calibri" w:eastAsia="Times New Roman" w:hAnsi="Calibri" w:cs="Calibri"/>
              </w:rPr>
            </w:pPr>
            <w:r w:rsidRPr="00F658E7">
              <w:rPr>
                <w:rFonts w:ascii="Calibri" w:eastAsia="Times New Roman" w:hAnsi="Calibri" w:cs="Calibri"/>
              </w:rPr>
              <w:t>78.2%</w:t>
            </w:r>
          </w:p>
        </w:tc>
        <w:tc>
          <w:tcPr>
            <w:tcW w:w="920" w:type="dxa"/>
            <w:shd w:val="clear" w:color="auto" w:fill="auto"/>
            <w:noWrap/>
            <w:vAlign w:val="bottom"/>
          </w:tcPr>
          <w:p w14:paraId="23B5C55C" w14:textId="373965EE" w:rsidR="007538B0" w:rsidRPr="00F658E7" w:rsidRDefault="00BD164E" w:rsidP="0012782C">
            <w:pPr>
              <w:spacing w:after="0" w:line="240" w:lineRule="auto"/>
              <w:jc w:val="right"/>
              <w:rPr>
                <w:rFonts w:ascii="Calibri" w:eastAsia="Times New Roman" w:hAnsi="Calibri" w:cs="Calibri"/>
              </w:rPr>
            </w:pPr>
            <w:r w:rsidRPr="00F658E7">
              <w:rPr>
                <w:rFonts w:ascii="Calibri" w:eastAsia="Times New Roman" w:hAnsi="Calibri" w:cs="Calibri"/>
              </w:rPr>
              <w:t>64.6%</w:t>
            </w:r>
          </w:p>
        </w:tc>
        <w:tc>
          <w:tcPr>
            <w:tcW w:w="920" w:type="dxa"/>
            <w:shd w:val="clear" w:color="auto" w:fill="auto"/>
            <w:noWrap/>
            <w:vAlign w:val="bottom"/>
          </w:tcPr>
          <w:p w14:paraId="0F610D27" w14:textId="2586F9CD" w:rsidR="007538B0" w:rsidRPr="00F658E7" w:rsidRDefault="00BD164E" w:rsidP="0012782C">
            <w:pPr>
              <w:spacing w:after="0" w:line="240" w:lineRule="auto"/>
              <w:jc w:val="right"/>
              <w:rPr>
                <w:rFonts w:ascii="Calibri" w:eastAsia="Times New Roman" w:hAnsi="Calibri" w:cs="Calibri"/>
              </w:rPr>
            </w:pPr>
            <w:r w:rsidRPr="00F658E7">
              <w:rPr>
                <w:rFonts w:ascii="Calibri" w:eastAsia="Times New Roman" w:hAnsi="Calibri" w:cs="Calibri"/>
              </w:rPr>
              <w:t>68.8%</w:t>
            </w:r>
          </w:p>
        </w:tc>
        <w:tc>
          <w:tcPr>
            <w:tcW w:w="920" w:type="dxa"/>
            <w:shd w:val="clear" w:color="auto" w:fill="auto"/>
            <w:noWrap/>
            <w:vAlign w:val="bottom"/>
          </w:tcPr>
          <w:p w14:paraId="19424F06" w14:textId="630D149E" w:rsidR="007538B0" w:rsidRPr="00F658E7" w:rsidRDefault="00BD164E" w:rsidP="0012782C">
            <w:pPr>
              <w:spacing w:after="0" w:line="240" w:lineRule="auto"/>
              <w:jc w:val="right"/>
              <w:rPr>
                <w:rFonts w:ascii="Calibri" w:eastAsia="Times New Roman" w:hAnsi="Calibri" w:cs="Calibri"/>
              </w:rPr>
            </w:pPr>
            <w:r w:rsidRPr="00F658E7">
              <w:rPr>
                <w:rFonts w:ascii="Calibri" w:eastAsia="Times New Roman" w:hAnsi="Calibri" w:cs="Calibri"/>
              </w:rPr>
              <w:t>67.0%</w:t>
            </w:r>
          </w:p>
        </w:tc>
        <w:tc>
          <w:tcPr>
            <w:tcW w:w="920" w:type="dxa"/>
            <w:shd w:val="clear" w:color="auto" w:fill="auto"/>
            <w:noWrap/>
            <w:vAlign w:val="bottom"/>
          </w:tcPr>
          <w:p w14:paraId="1FDE5DB4" w14:textId="1C44A9C4" w:rsidR="007538B0" w:rsidRPr="00F658E7" w:rsidRDefault="00BD164E" w:rsidP="0012782C">
            <w:pPr>
              <w:spacing w:after="0" w:line="240" w:lineRule="auto"/>
              <w:jc w:val="right"/>
              <w:rPr>
                <w:rFonts w:ascii="Calibri" w:eastAsia="Times New Roman" w:hAnsi="Calibri" w:cs="Calibri"/>
              </w:rPr>
            </w:pPr>
            <w:r w:rsidRPr="00F658E7">
              <w:rPr>
                <w:rFonts w:ascii="Calibri" w:eastAsia="Times New Roman" w:hAnsi="Calibri" w:cs="Calibri"/>
              </w:rPr>
              <w:t>71.1%</w:t>
            </w:r>
          </w:p>
        </w:tc>
        <w:tc>
          <w:tcPr>
            <w:tcW w:w="920" w:type="dxa"/>
            <w:shd w:val="clear" w:color="auto" w:fill="auto"/>
            <w:noWrap/>
            <w:vAlign w:val="bottom"/>
          </w:tcPr>
          <w:p w14:paraId="30BD8D48" w14:textId="66690454" w:rsidR="007538B0" w:rsidRPr="00F658E7" w:rsidRDefault="00BD164E" w:rsidP="0012782C">
            <w:pPr>
              <w:spacing w:after="0" w:line="240" w:lineRule="auto"/>
              <w:jc w:val="right"/>
              <w:rPr>
                <w:rFonts w:ascii="Calibri" w:eastAsia="Times New Roman" w:hAnsi="Calibri" w:cs="Calibri"/>
              </w:rPr>
            </w:pPr>
            <w:r w:rsidRPr="00F658E7">
              <w:rPr>
                <w:rFonts w:ascii="Calibri" w:eastAsia="Times New Roman" w:hAnsi="Calibri" w:cs="Calibri"/>
              </w:rPr>
              <w:t>64.8%</w:t>
            </w:r>
          </w:p>
        </w:tc>
      </w:tr>
      <w:tr w:rsidR="007538B0" w:rsidRPr="00D910F0" w14:paraId="210043B9" w14:textId="77777777" w:rsidTr="00BD164E">
        <w:trPr>
          <w:trHeight w:val="300"/>
        </w:trPr>
        <w:tc>
          <w:tcPr>
            <w:tcW w:w="2140" w:type="dxa"/>
            <w:shd w:val="clear" w:color="D9E1F2" w:fill="D9E1F2"/>
            <w:noWrap/>
            <w:vAlign w:val="bottom"/>
          </w:tcPr>
          <w:p w14:paraId="5E314102" w14:textId="3A38E26D" w:rsidR="007538B0" w:rsidRPr="00F658E7" w:rsidRDefault="007538B0" w:rsidP="0012782C">
            <w:pPr>
              <w:spacing w:after="0" w:line="240" w:lineRule="auto"/>
              <w:rPr>
                <w:rFonts w:ascii="Calibri" w:eastAsia="Times New Roman" w:hAnsi="Calibri" w:cs="Calibri"/>
              </w:rPr>
            </w:pPr>
            <w:r w:rsidRPr="00F658E7">
              <w:rPr>
                <w:rFonts w:ascii="Calibri" w:eastAsia="Times New Roman" w:hAnsi="Calibri" w:cs="Calibri"/>
              </w:rPr>
              <w:t>Non-Māori, non-Pacific</w:t>
            </w:r>
          </w:p>
        </w:tc>
        <w:tc>
          <w:tcPr>
            <w:tcW w:w="920" w:type="dxa"/>
            <w:shd w:val="clear" w:color="D9E1F2" w:fill="D9E1F2"/>
            <w:noWrap/>
            <w:vAlign w:val="bottom"/>
          </w:tcPr>
          <w:p w14:paraId="2297E057" w14:textId="17290554" w:rsidR="007538B0" w:rsidRPr="00F658E7" w:rsidRDefault="00BD164E" w:rsidP="0012782C">
            <w:pPr>
              <w:spacing w:after="0" w:line="240" w:lineRule="auto"/>
              <w:jc w:val="right"/>
              <w:rPr>
                <w:rFonts w:ascii="Calibri" w:eastAsia="Times New Roman" w:hAnsi="Calibri" w:cs="Calibri"/>
              </w:rPr>
            </w:pPr>
            <w:r w:rsidRPr="00F658E7">
              <w:rPr>
                <w:rFonts w:ascii="Calibri" w:eastAsia="Times New Roman" w:hAnsi="Calibri" w:cs="Calibri"/>
              </w:rPr>
              <w:t>82.6%</w:t>
            </w:r>
          </w:p>
        </w:tc>
        <w:tc>
          <w:tcPr>
            <w:tcW w:w="920" w:type="dxa"/>
            <w:shd w:val="clear" w:color="D9E1F2" w:fill="D9E1F2"/>
            <w:noWrap/>
            <w:vAlign w:val="bottom"/>
          </w:tcPr>
          <w:p w14:paraId="378631B0" w14:textId="1BCBD721" w:rsidR="007538B0" w:rsidRPr="00F658E7" w:rsidRDefault="00BD164E" w:rsidP="0012782C">
            <w:pPr>
              <w:spacing w:after="0" w:line="240" w:lineRule="auto"/>
              <w:jc w:val="right"/>
              <w:rPr>
                <w:rFonts w:ascii="Calibri" w:eastAsia="Times New Roman" w:hAnsi="Calibri" w:cs="Calibri"/>
              </w:rPr>
            </w:pPr>
            <w:r w:rsidRPr="00F658E7">
              <w:rPr>
                <w:rFonts w:ascii="Calibri" w:eastAsia="Times New Roman" w:hAnsi="Calibri" w:cs="Calibri"/>
              </w:rPr>
              <w:t>81.4%</w:t>
            </w:r>
          </w:p>
        </w:tc>
        <w:tc>
          <w:tcPr>
            <w:tcW w:w="920" w:type="dxa"/>
            <w:shd w:val="clear" w:color="D9E1F2" w:fill="D9E1F2"/>
            <w:noWrap/>
            <w:vAlign w:val="bottom"/>
          </w:tcPr>
          <w:p w14:paraId="322CFCBD" w14:textId="2BFD2465" w:rsidR="007538B0" w:rsidRPr="00F658E7" w:rsidRDefault="00BD164E" w:rsidP="0012782C">
            <w:pPr>
              <w:spacing w:after="0" w:line="240" w:lineRule="auto"/>
              <w:jc w:val="right"/>
              <w:rPr>
                <w:rFonts w:ascii="Calibri" w:eastAsia="Times New Roman" w:hAnsi="Calibri" w:cs="Calibri"/>
              </w:rPr>
            </w:pPr>
            <w:r w:rsidRPr="00F658E7">
              <w:rPr>
                <w:rFonts w:ascii="Calibri" w:eastAsia="Times New Roman" w:hAnsi="Calibri" w:cs="Calibri"/>
              </w:rPr>
              <w:t>82.4%</w:t>
            </w:r>
          </w:p>
        </w:tc>
        <w:tc>
          <w:tcPr>
            <w:tcW w:w="920" w:type="dxa"/>
            <w:shd w:val="clear" w:color="D9E1F2" w:fill="D9E1F2"/>
            <w:noWrap/>
            <w:vAlign w:val="bottom"/>
          </w:tcPr>
          <w:p w14:paraId="02E8A34C" w14:textId="5AAF2D82" w:rsidR="007538B0" w:rsidRPr="00F658E7" w:rsidRDefault="00BD164E" w:rsidP="0012782C">
            <w:pPr>
              <w:spacing w:after="0" w:line="240" w:lineRule="auto"/>
              <w:jc w:val="right"/>
              <w:rPr>
                <w:rFonts w:ascii="Calibri" w:eastAsia="Times New Roman" w:hAnsi="Calibri" w:cs="Calibri"/>
              </w:rPr>
            </w:pPr>
            <w:r w:rsidRPr="00F658E7">
              <w:rPr>
                <w:rFonts w:ascii="Calibri" w:eastAsia="Times New Roman" w:hAnsi="Calibri" w:cs="Calibri"/>
              </w:rPr>
              <w:t>81.2%</w:t>
            </w:r>
          </w:p>
        </w:tc>
        <w:tc>
          <w:tcPr>
            <w:tcW w:w="920" w:type="dxa"/>
            <w:shd w:val="clear" w:color="D9E1F2" w:fill="D9E1F2"/>
            <w:noWrap/>
            <w:vAlign w:val="bottom"/>
          </w:tcPr>
          <w:p w14:paraId="31CD5CC6" w14:textId="632CA3B3" w:rsidR="007538B0" w:rsidRPr="00F658E7" w:rsidRDefault="00BD164E" w:rsidP="0012782C">
            <w:pPr>
              <w:spacing w:after="0" w:line="240" w:lineRule="auto"/>
              <w:jc w:val="right"/>
              <w:rPr>
                <w:rFonts w:ascii="Calibri" w:eastAsia="Times New Roman" w:hAnsi="Calibri" w:cs="Calibri"/>
              </w:rPr>
            </w:pPr>
            <w:r w:rsidRPr="00F658E7">
              <w:rPr>
                <w:rFonts w:ascii="Calibri" w:eastAsia="Times New Roman" w:hAnsi="Calibri" w:cs="Calibri"/>
              </w:rPr>
              <w:t>80.5%</w:t>
            </w:r>
          </w:p>
        </w:tc>
        <w:tc>
          <w:tcPr>
            <w:tcW w:w="920" w:type="dxa"/>
            <w:shd w:val="clear" w:color="D9E1F2" w:fill="D9E1F2"/>
            <w:noWrap/>
            <w:vAlign w:val="bottom"/>
          </w:tcPr>
          <w:p w14:paraId="2E6CDA52" w14:textId="59810936" w:rsidR="007538B0" w:rsidRPr="00F658E7" w:rsidRDefault="00BD164E" w:rsidP="0012782C">
            <w:pPr>
              <w:spacing w:after="0" w:line="240" w:lineRule="auto"/>
              <w:jc w:val="right"/>
              <w:rPr>
                <w:rFonts w:ascii="Calibri" w:eastAsia="Times New Roman" w:hAnsi="Calibri" w:cs="Calibri"/>
              </w:rPr>
            </w:pPr>
            <w:r w:rsidRPr="00F658E7">
              <w:rPr>
                <w:rFonts w:ascii="Calibri" w:eastAsia="Times New Roman" w:hAnsi="Calibri" w:cs="Calibri"/>
              </w:rPr>
              <w:t>80.3%</w:t>
            </w:r>
          </w:p>
        </w:tc>
      </w:tr>
    </w:tbl>
    <w:p w14:paraId="47EF34B8" w14:textId="4A9E18A6" w:rsidR="007538B0" w:rsidRPr="009F2B55" w:rsidRDefault="00CF2BB0" w:rsidP="0012782C">
      <w:pPr>
        <w:spacing w:before="120" w:line="240" w:lineRule="auto"/>
      </w:pPr>
      <w:r w:rsidRPr="008010DB">
        <w:t>Table 7 shows that pass-rates for Māori and Pacific students that report a disability are noticeably lower than non-M</w:t>
      </w:r>
      <w:r w:rsidRPr="0073366E">
        <w:t>āori and non-Pacific students. This equity gap</w:t>
      </w:r>
      <w:r w:rsidR="00BD164E" w:rsidRPr="0073366E">
        <w:t>s</w:t>
      </w:r>
      <w:r w:rsidRPr="009F2B55">
        <w:t xml:space="preserve"> generally reflect the difference </w:t>
      </w:r>
      <w:r w:rsidR="00BD164E" w:rsidRPr="009F2B55">
        <w:t xml:space="preserve">in achievement between Māori and Pacific students and non-Māori, non-Pacific students overall. Efforts that are being under taken through the University’s </w:t>
      </w:r>
      <w:proofErr w:type="spellStart"/>
      <w:r w:rsidR="00BD164E" w:rsidRPr="009F2B55">
        <w:t>Ōritetanga</w:t>
      </w:r>
      <w:proofErr w:type="spellEnd"/>
      <w:r w:rsidR="00BD164E" w:rsidRPr="009F2B55">
        <w:t xml:space="preserve"> programme are likely to help close this </w:t>
      </w:r>
      <w:r w:rsidR="00BD164E" w:rsidRPr="00C21708">
        <w:t xml:space="preserve">gap over time, but it is recognised that the University needs to have a continued focus on support </w:t>
      </w:r>
      <w:r w:rsidR="00136A28" w:rsidRPr="00997954">
        <w:t xml:space="preserve">for students with disabilities </w:t>
      </w:r>
      <w:r w:rsidR="00E53B3F" w:rsidRPr="00997954">
        <w:t xml:space="preserve">that recognises </w:t>
      </w:r>
      <w:r w:rsidR="009F2B55">
        <w:t>intersections with</w:t>
      </w:r>
      <w:r w:rsidR="00E53B3F" w:rsidRPr="009F2B55">
        <w:t xml:space="preserve"> ethnicity</w:t>
      </w:r>
      <w:r w:rsidR="00136A28" w:rsidRPr="009F2B55">
        <w:t>.</w:t>
      </w:r>
    </w:p>
    <w:p w14:paraId="741E159A" w14:textId="0B4BD900" w:rsidR="007B08B5" w:rsidRPr="00F658E7" w:rsidRDefault="007B08B5" w:rsidP="0012782C">
      <w:pPr>
        <w:pStyle w:val="Heading3"/>
        <w:spacing w:line="240" w:lineRule="auto"/>
        <w:rPr>
          <w:color w:val="auto"/>
        </w:rPr>
      </w:pPr>
      <w:bookmarkStart w:id="7" w:name="_Toc120609554"/>
      <w:r w:rsidRPr="00F658E7">
        <w:rPr>
          <w:color w:val="auto"/>
        </w:rPr>
        <w:t>1.</w:t>
      </w:r>
      <w:r w:rsidR="00067EA9" w:rsidRPr="00F658E7">
        <w:rPr>
          <w:color w:val="auto"/>
        </w:rPr>
        <w:t>1</w:t>
      </w:r>
      <w:r w:rsidRPr="00F658E7">
        <w:rPr>
          <w:color w:val="auto"/>
        </w:rPr>
        <w:t>.3 Retention rates</w:t>
      </w:r>
      <w:bookmarkEnd w:id="7"/>
    </w:p>
    <w:p w14:paraId="0F537BC6" w14:textId="55FF813C" w:rsidR="00800776" w:rsidRPr="00F658E7" w:rsidRDefault="00800776" w:rsidP="0012782C">
      <w:pPr>
        <w:spacing w:after="0" w:line="240" w:lineRule="auto"/>
        <w:rPr>
          <w:rFonts w:eastAsia="Times New Roman" w:cstheme="minorHAnsi"/>
          <w:b/>
        </w:rPr>
      </w:pPr>
      <w:r w:rsidRPr="00F658E7">
        <w:rPr>
          <w:rFonts w:eastAsia="Times New Roman" w:cstheme="minorHAnsi"/>
          <w:b/>
        </w:rPr>
        <w:t>TABLE</w:t>
      </w:r>
      <w:r w:rsidR="004724B6">
        <w:rPr>
          <w:rFonts w:eastAsia="Times New Roman" w:cstheme="minorHAnsi"/>
          <w:b/>
        </w:rPr>
        <w:t xml:space="preserve"> 8:</w:t>
      </w:r>
      <w:r w:rsidRPr="00F658E7">
        <w:rPr>
          <w:rFonts w:eastAsia="Times New Roman" w:cstheme="minorHAnsi"/>
          <w:b/>
        </w:rPr>
        <w:t xml:space="preserve"> </w:t>
      </w:r>
      <w:r w:rsidR="006350E5">
        <w:rPr>
          <w:rFonts w:eastAsia="Times New Roman" w:cstheme="minorHAnsi"/>
          <w:b/>
        </w:rPr>
        <w:t>First year student</w:t>
      </w:r>
      <w:r w:rsidRPr="00F658E7">
        <w:rPr>
          <w:rFonts w:eastAsia="Times New Roman" w:cstheme="minorHAnsi"/>
          <w:b/>
        </w:rPr>
        <w:t xml:space="preserve"> retention rates</w:t>
      </w:r>
    </w:p>
    <w:p w14:paraId="1CF2FBD9" w14:textId="30B48521" w:rsidR="003D6E5E" w:rsidRPr="00F658E7" w:rsidRDefault="003D6E5E" w:rsidP="0012782C">
      <w:pPr>
        <w:spacing w:after="0" w:line="240" w:lineRule="auto"/>
        <w:rPr>
          <w:rFonts w:eastAsia="Times New Roman" w:cstheme="minorHAnsi"/>
          <w:b/>
        </w:rPr>
      </w:pPr>
    </w:p>
    <w:tbl>
      <w:tblPr>
        <w:tblW w:w="7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760"/>
        <w:gridCol w:w="1760"/>
        <w:gridCol w:w="1696"/>
      </w:tblGrid>
      <w:tr w:rsidR="00F001AF" w:rsidRPr="00D910F0" w14:paraId="49872A24" w14:textId="1A6A4DBB" w:rsidTr="00F658E7">
        <w:trPr>
          <w:trHeight w:val="300"/>
        </w:trPr>
        <w:tc>
          <w:tcPr>
            <w:tcW w:w="2040" w:type="dxa"/>
            <w:shd w:val="clear" w:color="D9E1F2" w:fill="D9E1F2"/>
            <w:noWrap/>
            <w:vAlign w:val="bottom"/>
            <w:hideMark/>
          </w:tcPr>
          <w:p w14:paraId="0D26EB99" w14:textId="77777777" w:rsidR="00F001AF" w:rsidRPr="00F658E7" w:rsidRDefault="00F001AF" w:rsidP="0012782C">
            <w:pPr>
              <w:spacing w:after="0" w:line="240" w:lineRule="auto"/>
              <w:rPr>
                <w:rFonts w:ascii="Calibri" w:eastAsia="Times New Roman" w:hAnsi="Calibri" w:cs="Calibri"/>
                <w:b/>
                <w:bCs/>
              </w:rPr>
            </w:pPr>
            <w:r w:rsidRPr="00F658E7">
              <w:rPr>
                <w:rFonts w:ascii="Calibri" w:eastAsia="Times New Roman" w:hAnsi="Calibri" w:cs="Calibri"/>
                <w:b/>
                <w:bCs/>
              </w:rPr>
              <w:t>Has a disability</w:t>
            </w:r>
          </w:p>
        </w:tc>
        <w:tc>
          <w:tcPr>
            <w:tcW w:w="1760" w:type="dxa"/>
            <w:shd w:val="clear" w:color="D9E1F2" w:fill="D9E1F2"/>
            <w:noWrap/>
            <w:vAlign w:val="center"/>
            <w:hideMark/>
          </w:tcPr>
          <w:p w14:paraId="2387018C" w14:textId="460DBA08" w:rsidR="00F001AF" w:rsidRPr="00F658E7" w:rsidRDefault="00F001AF" w:rsidP="0012782C">
            <w:pPr>
              <w:spacing w:after="0" w:line="240" w:lineRule="auto"/>
              <w:jc w:val="center"/>
              <w:rPr>
                <w:rFonts w:ascii="Calibri" w:eastAsia="Times New Roman" w:hAnsi="Calibri" w:cs="Calibri"/>
                <w:b/>
                <w:bCs/>
              </w:rPr>
            </w:pPr>
            <w:r>
              <w:rPr>
                <w:rFonts w:ascii="Calibri" w:eastAsia="Times New Roman" w:hAnsi="Calibri" w:cs="Calibri"/>
                <w:b/>
                <w:bCs/>
              </w:rPr>
              <w:t>2019</w:t>
            </w:r>
          </w:p>
        </w:tc>
        <w:tc>
          <w:tcPr>
            <w:tcW w:w="1760" w:type="dxa"/>
            <w:shd w:val="clear" w:color="D9E1F2" w:fill="D9E1F2"/>
            <w:noWrap/>
            <w:vAlign w:val="center"/>
            <w:hideMark/>
          </w:tcPr>
          <w:p w14:paraId="0D53238A" w14:textId="17A69994" w:rsidR="00F001AF" w:rsidRPr="00F658E7" w:rsidRDefault="00F001AF" w:rsidP="0012782C">
            <w:pPr>
              <w:spacing w:after="0" w:line="240" w:lineRule="auto"/>
              <w:jc w:val="center"/>
              <w:rPr>
                <w:rFonts w:ascii="Calibri" w:eastAsia="Times New Roman" w:hAnsi="Calibri" w:cs="Calibri"/>
                <w:b/>
                <w:bCs/>
              </w:rPr>
            </w:pPr>
            <w:r>
              <w:rPr>
                <w:rFonts w:ascii="Calibri" w:eastAsia="Times New Roman" w:hAnsi="Calibri" w:cs="Calibri"/>
                <w:b/>
                <w:bCs/>
              </w:rPr>
              <w:t>2020</w:t>
            </w:r>
          </w:p>
        </w:tc>
        <w:tc>
          <w:tcPr>
            <w:tcW w:w="1696" w:type="dxa"/>
            <w:shd w:val="clear" w:color="D9E1F2" w:fill="D9E1F2"/>
            <w:vAlign w:val="center"/>
          </w:tcPr>
          <w:p w14:paraId="7B34C284" w14:textId="7F4670C4" w:rsidR="00F001AF" w:rsidRPr="00D910F0" w:rsidDel="006350E5" w:rsidRDefault="00F001AF" w:rsidP="0012782C">
            <w:pPr>
              <w:spacing w:after="0" w:line="240" w:lineRule="auto"/>
              <w:jc w:val="center"/>
              <w:rPr>
                <w:rFonts w:ascii="Calibri" w:eastAsia="Times New Roman" w:hAnsi="Calibri" w:cs="Calibri"/>
                <w:b/>
                <w:bCs/>
              </w:rPr>
            </w:pPr>
            <w:r>
              <w:rPr>
                <w:rFonts w:ascii="Calibri" w:eastAsia="Times New Roman" w:hAnsi="Calibri" w:cs="Calibri"/>
                <w:b/>
                <w:bCs/>
              </w:rPr>
              <w:t>2021*</w:t>
            </w:r>
          </w:p>
        </w:tc>
      </w:tr>
      <w:tr w:rsidR="00F001AF" w:rsidRPr="00D910F0" w14:paraId="29018C8A" w14:textId="32173C03" w:rsidTr="00F658E7">
        <w:trPr>
          <w:trHeight w:val="300"/>
        </w:trPr>
        <w:tc>
          <w:tcPr>
            <w:tcW w:w="2040" w:type="dxa"/>
            <w:shd w:val="clear" w:color="auto" w:fill="auto"/>
            <w:noWrap/>
            <w:vAlign w:val="bottom"/>
            <w:hideMark/>
          </w:tcPr>
          <w:p w14:paraId="61688C14" w14:textId="77777777" w:rsidR="00F001AF" w:rsidRPr="00F658E7" w:rsidRDefault="00F001AF" w:rsidP="0012782C">
            <w:pPr>
              <w:spacing w:after="0" w:line="240" w:lineRule="auto"/>
              <w:rPr>
                <w:rFonts w:ascii="Calibri" w:eastAsia="Times New Roman" w:hAnsi="Calibri" w:cs="Calibri"/>
              </w:rPr>
            </w:pPr>
            <w:r w:rsidRPr="00F658E7">
              <w:rPr>
                <w:rFonts w:ascii="Calibri" w:eastAsia="Times New Roman" w:hAnsi="Calibri" w:cs="Calibri"/>
              </w:rPr>
              <w:t>No</w:t>
            </w:r>
          </w:p>
        </w:tc>
        <w:tc>
          <w:tcPr>
            <w:tcW w:w="1760" w:type="dxa"/>
            <w:shd w:val="clear" w:color="auto" w:fill="auto"/>
            <w:noWrap/>
            <w:vAlign w:val="center"/>
          </w:tcPr>
          <w:p w14:paraId="6D5FE618" w14:textId="6D5E7FFB" w:rsidR="00F001AF" w:rsidRPr="00F658E7" w:rsidRDefault="00F001AF" w:rsidP="0012782C">
            <w:pPr>
              <w:spacing w:after="0" w:line="240" w:lineRule="auto"/>
              <w:jc w:val="right"/>
              <w:rPr>
                <w:rFonts w:ascii="Calibri" w:eastAsia="Times New Roman" w:hAnsi="Calibri" w:cs="Calibri"/>
              </w:rPr>
            </w:pPr>
            <w:r>
              <w:rPr>
                <w:rFonts w:ascii="Calibri" w:eastAsia="Times New Roman" w:hAnsi="Calibri" w:cs="Calibri"/>
              </w:rPr>
              <w:t>75.3%</w:t>
            </w:r>
          </w:p>
        </w:tc>
        <w:tc>
          <w:tcPr>
            <w:tcW w:w="1760" w:type="dxa"/>
            <w:shd w:val="clear" w:color="auto" w:fill="auto"/>
            <w:noWrap/>
            <w:vAlign w:val="center"/>
          </w:tcPr>
          <w:p w14:paraId="130B0668" w14:textId="5D60A962" w:rsidR="00F001AF" w:rsidRPr="00F658E7" w:rsidRDefault="00F001AF" w:rsidP="0012782C">
            <w:pPr>
              <w:spacing w:after="0" w:line="240" w:lineRule="auto"/>
              <w:jc w:val="right"/>
              <w:rPr>
                <w:rFonts w:ascii="Calibri" w:eastAsia="Times New Roman" w:hAnsi="Calibri" w:cs="Calibri"/>
              </w:rPr>
            </w:pPr>
            <w:r>
              <w:rPr>
                <w:rFonts w:ascii="Calibri" w:eastAsia="Times New Roman" w:hAnsi="Calibri" w:cs="Calibri"/>
              </w:rPr>
              <w:t>75.2%</w:t>
            </w:r>
          </w:p>
        </w:tc>
        <w:tc>
          <w:tcPr>
            <w:tcW w:w="1696" w:type="dxa"/>
            <w:vAlign w:val="center"/>
          </w:tcPr>
          <w:p w14:paraId="406614E2" w14:textId="36C772C4" w:rsidR="00F001AF" w:rsidRPr="00D910F0" w:rsidRDefault="00F001AF" w:rsidP="0012782C">
            <w:pPr>
              <w:spacing w:after="0" w:line="240" w:lineRule="auto"/>
              <w:jc w:val="right"/>
              <w:rPr>
                <w:rFonts w:ascii="Calibri" w:eastAsia="Times New Roman" w:hAnsi="Calibri" w:cs="Calibri"/>
              </w:rPr>
            </w:pPr>
            <w:r>
              <w:rPr>
                <w:rFonts w:ascii="Calibri" w:eastAsia="Times New Roman" w:hAnsi="Calibri" w:cs="Calibri"/>
              </w:rPr>
              <w:t>72.9%</w:t>
            </w:r>
          </w:p>
        </w:tc>
      </w:tr>
      <w:tr w:rsidR="00F001AF" w:rsidRPr="00D910F0" w14:paraId="099A0E8A" w14:textId="273BFB1E" w:rsidTr="00F658E7">
        <w:trPr>
          <w:trHeight w:val="300"/>
        </w:trPr>
        <w:tc>
          <w:tcPr>
            <w:tcW w:w="2040" w:type="dxa"/>
            <w:shd w:val="clear" w:color="auto" w:fill="auto"/>
            <w:noWrap/>
            <w:vAlign w:val="bottom"/>
            <w:hideMark/>
          </w:tcPr>
          <w:p w14:paraId="3B794BEC" w14:textId="77777777" w:rsidR="00F001AF" w:rsidRPr="00F658E7" w:rsidRDefault="00F001AF" w:rsidP="0012782C">
            <w:pPr>
              <w:spacing w:after="0" w:line="240" w:lineRule="auto"/>
              <w:rPr>
                <w:rFonts w:ascii="Calibri" w:eastAsia="Times New Roman" w:hAnsi="Calibri" w:cs="Calibri"/>
              </w:rPr>
            </w:pPr>
            <w:r w:rsidRPr="00F658E7">
              <w:rPr>
                <w:rFonts w:ascii="Calibri" w:eastAsia="Times New Roman" w:hAnsi="Calibri" w:cs="Calibri"/>
              </w:rPr>
              <w:t>Yes</w:t>
            </w:r>
          </w:p>
        </w:tc>
        <w:tc>
          <w:tcPr>
            <w:tcW w:w="1760" w:type="dxa"/>
            <w:shd w:val="clear" w:color="auto" w:fill="auto"/>
            <w:noWrap/>
            <w:vAlign w:val="center"/>
          </w:tcPr>
          <w:p w14:paraId="546F1979" w14:textId="604EEF57" w:rsidR="00F001AF" w:rsidRPr="00F658E7" w:rsidRDefault="00F001AF" w:rsidP="0012782C">
            <w:pPr>
              <w:spacing w:after="0" w:line="240" w:lineRule="auto"/>
              <w:jc w:val="right"/>
              <w:rPr>
                <w:rFonts w:ascii="Calibri" w:eastAsia="Times New Roman" w:hAnsi="Calibri" w:cs="Calibri"/>
              </w:rPr>
            </w:pPr>
            <w:r>
              <w:rPr>
                <w:rFonts w:ascii="Calibri" w:eastAsia="Times New Roman" w:hAnsi="Calibri" w:cs="Calibri"/>
              </w:rPr>
              <w:t>68.6%</w:t>
            </w:r>
          </w:p>
        </w:tc>
        <w:tc>
          <w:tcPr>
            <w:tcW w:w="1760" w:type="dxa"/>
            <w:shd w:val="clear" w:color="auto" w:fill="auto"/>
            <w:noWrap/>
            <w:vAlign w:val="center"/>
          </w:tcPr>
          <w:p w14:paraId="45312660" w14:textId="4F40B52C" w:rsidR="00F001AF" w:rsidRPr="00F658E7" w:rsidRDefault="00F001AF" w:rsidP="0012782C">
            <w:pPr>
              <w:spacing w:after="0" w:line="240" w:lineRule="auto"/>
              <w:jc w:val="right"/>
              <w:rPr>
                <w:rFonts w:ascii="Calibri" w:eastAsia="Times New Roman" w:hAnsi="Calibri" w:cs="Calibri"/>
              </w:rPr>
            </w:pPr>
            <w:r>
              <w:rPr>
                <w:rFonts w:ascii="Calibri" w:eastAsia="Times New Roman" w:hAnsi="Calibri" w:cs="Calibri"/>
              </w:rPr>
              <w:t>69.4%</w:t>
            </w:r>
          </w:p>
        </w:tc>
        <w:tc>
          <w:tcPr>
            <w:tcW w:w="1696" w:type="dxa"/>
            <w:vAlign w:val="center"/>
          </w:tcPr>
          <w:p w14:paraId="431D7FA5" w14:textId="042520F4" w:rsidR="00F001AF" w:rsidRPr="00D910F0" w:rsidRDefault="00F001AF" w:rsidP="0012782C">
            <w:pPr>
              <w:spacing w:after="0" w:line="240" w:lineRule="auto"/>
              <w:jc w:val="right"/>
              <w:rPr>
                <w:rFonts w:ascii="Calibri" w:eastAsia="Times New Roman" w:hAnsi="Calibri" w:cs="Calibri"/>
              </w:rPr>
            </w:pPr>
            <w:r>
              <w:rPr>
                <w:rFonts w:ascii="Calibri" w:eastAsia="Times New Roman" w:hAnsi="Calibri" w:cs="Calibri"/>
              </w:rPr>
              <w:t>70.4%</w:t>
            </w:r>
          </w:p>
        </w:tc>
      </w:tr>
      <w:tr w:rsidR="00F001AF" w:rsidRPr="00D910F0" w14:paraId="0C9798CE" w14:textId="5DB6BD4C" w:rsidTr="00F658E7">
        <w:trPr>
          <w:trHeight w:val="300"/>
        </w:trPr>
        <w:tc>
          <w:tcPr>
            <w:tcW w:w="2040" w:type="dxa"/>
            <w:shd w:val="clear" w:color="D9E1F2" w:fill="D9E1F2"/>
            <w:noWrap/>
            <w:vAlign w:val="bottom"/>
            <w:hideMark/>
          </w:tcPr>
          <w:p w14:paraId="762C798E" w14:textId="0073274A" w:rsidR="00F001AF" w:rsidRPr="00F658E7" w:rsidRDefault="00F001AF" w:rsidP="0012782C">
            <w:pPr>
              <w:spacing w:after="0" w:line="240" w:lineRule="auto"/>
              <w:rPr>
                <w:rFonts w:ascii="Calibri" w:eastAsia="Times New Roman" w:hAnsi="Calibri" w:cs="Calibri"/>
                <w:b/>
                <w:bCs/>
              </w:rPr>
            </w:pPr>
            <w:r>
              <w:rPr>
                <w:rFonts w:ascii="Calibri" w:eastAsia="Times New Roman" w:hAnsi="Calibri" w:cs="Calibri"/>
                <w:b/>
                <w:bCs/>
              </w:rPr>
              <w:t>Overall</w:t>
            </w:r>
          </w:p>
        </w:tc>
        <w:tc>
          <w:tcPr>
            <w:tcW w:w="1760" w:type="dxa"/>
            <w:shd w:val="clear" w:color="D9E1F2" w:fill="D9E1F2"/>
            <w:noWrap/>
            <w:vAlign w:val="center"/>
          </w:tcPr>
          <w:p w14:paraId="6F976383" w14:textId="5CB6EE3D" w:rsidR="00F001AF" w:rsidRPr="00F658E7" w:rsidRDefault="00F001AF" w:rsidP="0012782C">
            <w:pPr>
              <w:spacing w:after="0" w:line="240" w:lineRule="auto"/>
              <w:jc w:val="right"/>
              <w:rPr>
                <w:rFonts w:ascii="Calibri" w:eastAsia="Times New Roman" w:hAnsi="Calibri" w:cs="Calibri"/>
                <w:b/>
                <w:bCs/>
              </w:rPr>
            </w:pPr>
            <w:r>
              <w:rPr>
                <w:rFonts w:ascii="Calibri" w:eastAsia="Times New Roman" w:hAnsi="Calibri" w:cs="Calibri"/>
                <w:b/>
                <w:bCs/>
              </w:rPr>
              <w:t>70.6%</w:t>
            </w:r>
          </w:p>
        </w:tc>
        <w:tc>
          <w:tcPr>
            <w:tcW w:w="1760" w:type="dxa"/>
            <w:shd w:val="clear" w:color="D9E1F2" w:fill="D9E1F2"/>
            <w:noWrap/>
            <w:vAlign w:val="center"/>
          </w:tcPr>
          <w:p w14:paraId="1DD196EC" w14:textId="70DE8861" w:rsidR="00F001AF" w:rsidRPr="00F658E7" w:rsidRDefault="00F001AF" w:rsidP="0012782C">
            <w:pPr>
              <w:spacing w:after="0" w:line="240" w:lineRule="auto"/>
              <w:jc w:val="right"/>
              <w:rPr>
                <w:rFonts w:ascii="Calibri" w:eastAsia="Times New Roman" w:hAnsi="Calibri" w:cs="Calibri"/>
                <w:b/>
                <w:bCs/>
              </w:rPr>
            </w:pPr>
            <w:r>
              <w:rPr>
                <w:rFonts w:ascii="Calibri" w:eastAsia="Times New Roman" w:hAnsi="Calibri" w:cs="Calibri"/>
                <w:b/>
                <w:bCs/>
              </w:rPr>
              <w:t>74.9%</w:t>
            </w:r>
          </w:p>
        </w:tc>
        <w:tc>
          <w:tcPr>
            <w:tcW w:w="1696" w:type="dxa"/>
            <w:shd w:val="clear" w:color="D9E1F2" w:fill="D9E1F2"/>
            <w:vAlign w:val="center"/>
          </w:tcPr>
          <w:p w14:paraId="4688FD14" w14:textId="2A748A65" w:rsidR="00F001AF" w:rsidRPr="00D910F0" w:rsidRDefault="00F001AF" w:rsidP="0012782C">
            <w:pPr>
              <w:spacing w:after="0" w:line="240" w:lineRule="auto"/>
              <w:jc w:val="right"/>
              <w:rPr>
                <w:rFonts w:ascii="Calibri" w:eastAsia="Times New Roman" w:hAnsi="Calibri" w:cs="Calibri"/>
                <w:b/>
                <w:bCs/>
              </w:rPr>
            </w:pPr>
            <w:r>
              <w:rPr>
                <w:rFonts w:ascii="Calibri" w:eastAsia="Times New Roman" w:hAnsi="Calibri" w:cs="Calibri"/>
                <w:b/>
                <w:bCs/>
              </w:rPr>
              <w:t>72.7%</w:t>
            </w:r>
          </w:p>
        </w:tc>
      </w:tr>
    </w:tbl>
    <w:p w14:paraId="18641FE7" w14:textId="77777777" w:rsidR="003D6E5E" w:rsidRPr="00F658E7" w:rsidRDefault="003D6E5E" w:rsidP="0012782C">
      <w:pPr>
        <w:spacing w:after="0" w:line="240" w:lineRule="auto"/>
        <w:rPr>
          <w:rFonts w:eastAsia="Times New Roman" w:cstheme="minorHAnsi"/>
          <w:b/>
        </w:rPr>
      </w:pPr>
    </w:p>
    <w:p w14:paraId="79B752C5" w14:textId="38642FFB" w:rsidR="00F001AF" w:rsidRDefault="00800776" w:rsidP="0012782C">
      <w:pPr>
        <w:spacing w:after="0" w:line="240" w:lineRule="auto"/>
        <w:rPr>
          <w:rFonts w:eastAsia="Times New Roman" w:cstheme="minorHAnsi"/>
        </w:rPr>
      </w:pPr>
      <w:r w:rsidRPr="00F658E7">
        <w:rPr>
          <w:rFonts w:eastAsia="Times New Roman" w:cstheme="minorHAnsi"/>
        </w:rPr>
        <w:t xml:space="preserve">As indicated in Table </w:t>
      </w:r>
      <w:r w:rsidR="00A15EE1">
        <w:rPr>
          <w:rFonts w:eastAsia="Times New Roman" w:cstheme="minorHAnsi"/>
        </w:rPr>
        <w:t>8</w:t>
      </w:r>
      <w:r w:rsidR="00A15EE1" w:rsidRPr="00F658E7">
        <w:rPr>
          <w:rFonts w:eastAsia="Times New Roman" w:cstheme="minorHAnsi"/>
        </w:rPr>
        <w:t xml:space="preserve"> </w:t>
      </w:r>
      <w:r w:rsidRPr="00F658E7">
        <w:rPr>
          <w:rFonts w:eastAsia="Times New Roman" w:cstheme="minorHAnsi"/>
        </w:rPr>
        <w:t xml:space="preserve">the </w:t>
      </w:r>
      <w:proofErr w:type="gramStart"/>
      <w:r w:rsidR="00DD56D1">
        <w:rPr>
          <w:rFonts w:eastAsia="Times New Roman" w:cstheme="minorHAnsi"/>
        </w:rPr>
        <w:t>first year</w:t>
      </w:r>
      <w:proofErr w:type="gramEnd"/>
      <w:r w:rsidR="00DD56D1">
        <w:rPr>
          <w:rFonts w:eastAsia="Times New Roman" w:cstheme="minorHAnsi"/>
        </w:rPr>
        <w:t xml:space="preserve"> student</w:t>
      </w:r>
      <w:r w:rsidR="00DD56D1" w:rsidRPr="00F658E7">
        <w:rPr>
          <w:rFonts w:eastAsia="Times New Roman" w:cstheme="minorHAnsi"/>
        </w:rPr>
        <w:t xml:space="preserve"> </w:t>
      </w:r>
      <w:r w:rsidRPr="00F658E7">
        <w:rPr>
          <w:rFonts w:eastAsia="Times New Roman" w:cstheme="minorHAnsi"/>
        </w:rPr>
        <w:t xml:space="preserve">retention rate for disabled students </w:t>
      </w:r>
      <w:r w:rsidR="00DD56D1">
        <w:rPr>
          <w:rFonts w:eastAsia="Times New Roman" w:cstheme="minorHAnsi"/>
        </w:rPr>
        <w:t xml:space="preserve">who report a disability </w:t>
      </w:r>
      <w:r w:rsidRPr="00F658E7">
        <w:rPr>
          <w:rFonts w:eastAsia="Times New Roman" w:cstheme="minorHAnsi"/>
        </w:rPr>
        <w:t>is</w:t>
      </w:r>
      <w:r w:rsidR="00DD56D1">
        <w:rPr>
          <w:rFonts w:eastAsia="Times New Roman" w:cstheme="minorHAnsi"/>
        </w:rPr>
        <w:t xml:space="preserve">, on average, </w:t>
      </w:r>
      <w:r w:rsidR="00311E4F">
        <w:rPr>
          <w:rFonts w:eastAsia="Times New Roman" w:cstheme="minorHAnsi"/>
        </w:rPr>
        <w:t>5</w:t>
      </w:r>
      <w:r w:rsidRPr="00F658E7">
        <w:rPr>
          <w:rFonts w:eastAsia="Times New Roman" w:cstheme="minorHAnsi"/>
        </w:rPr>
        <w:t>% under the retention rate for students who do not identify as having</w:t>
      </w:r>
      <w:r w:rsidR="00FE6E71" w:rsidRPr="00F658E7">
        <w:rPr>
          <w:rFonts w:eastAsia="Times New Roman" w:cstheme="minorHAnsi"/>
        </w:rPr>
        <w:t xml:space="preserve"> a disability</w:t>
      </w:r>
      <w:r w:rsidRPr="00F658E7">
        <w:rPr>
          <w:rFonts w:eastAsia="Times New Roman" w:cstheme="minorHAnsi"/>
        </w:rPr>
        <w:t xml:space="preserve">. </w:t>
      </w:r>
    </w:p>
    <w:p w14:paraId="54B76EB6" w14:textId="77777777" w:rsidR="00F001AF" w:rsidRDefault="00F001AF" w:rsidP="0012782C">
      <w:pPr>
        <w:spacing w:after="0" w:line="240" w:lineRule="auto"/>
        <w:rPr>
          <w:rFonts w:eastAsia="Times New Roman" w:cstheme="minorHAnsi"/>
        </w:rPr>
      </w:pPr>
    </w:p>
    <w:p w14:paraId="7C75AC50" w14:textId="2C810D03" w:rsidR="00F001AF" w:rsidRDefault="00F001AF" w:rsidP="0012782C">
      <w:pPr>
        <w:spacing w:after="0" w:line="240" w:lineRule="auto"/>
        <w:rPr>
          <w:rFonts w:eastAsia="Times New Roman" w:cstheme="minorHAnsi"/>
        </w:rPr>
      </w:pPr>
      <w:r>
        <w:rPr>
          <w:rFonts w:eastAsia="Times New Roman" w:cstheme="minorHAnsi"/>
        </w:rPr>
        <w:t xml:space="preserve">This indicator replicates the TEC first-year student methodology and counts students who were enrolled as a </w:t>
      </w:r>
      <w:proofErr w:type="gramStart"/>
      <w:r>
        <w:rPr>
          <w:rFonts w:eastAsia="Times New Roman" w:cstheme="minorHAnsi"/>
        </w:rPr>
        <w:t>first year</w:t>
      </w:r>
      <w:proofErr w:type="gramEnd"/>
      <w:r>
        <w:rPr>
          <w:rFonts w:eastAsia="Times New Roman" w:cstheme="minorHAnsi"/>
        </w:rPr>
        <w:t xml:space="preserve"> student in a given year and subsequently re-enrolled. For example</w:t>
      </w:r>
      <w:r w:rsidR="00F06851">
        <w:rPr>
          <w:rFonts w:eastAsia="Times New Roman" w:cstheme="minorHAnsi"/>
        </w:rPr>
        <w:t>,</w:t>
      </w:r>
      <w:r>
        <w:rPr>
          <w:rFonts w:eastAsia="Times New Roman" w:cstheme="minorHAnsi"/>
        </w:rPr>
        <w:t xml:space="preserve"> the 2019 figure counts those students who first enrolled in 2019 who subsequently re</w:t>
      </w:r>
      <w:r w:rsidR="00F06851">
        <w:rPr>
          <w:rFonts w:eastAsia="Times New Roman" w:cstheme="minorHAnsi"/>
        </w:rPr>
        <w:t>-</w:t>
      </w:r>
      <w:r>
        <w:rPr>
          <w:rFonts w:eastAsia="Times New Roman" w:cstheme="minorHAnsi"/>
        </w:rPr>
        <w:t>enrolled in 2020 or a subsequent year.</w:t>
      </w:r>
    </w:p>
    <w:p w14:paraId="61AC68D3" w14:textId="04165E70" w:rsidR="00C41782" w:rsidRDefault="00C41782" w:rsidP="0012782C">
      <w:pPr>
        <w:spacing w:after="0" w:line="240" w:lineRule="auto"/>
        <w:rPr>
          <w:rFonts w:eastAsia="Times New Roman" w:cstheme="minorHAnsi"/>
        </w:rPr>
      </w:pPr>
    </w:p>
    <w:p w14:paraId="35877511" w14:textId="563292B9" w:rsidR="005215DE" w:rsidRPr="00F658E7" w:rsidRDefault="005215DE" w:rsidP="0012782C">
      <w:pPr>
        <w:pStyle w:val="Heading3"/>
        <w:spacing w:line="240" w:lineRule="auto"/>
        <w:rPr>
          <w:color w:val="auto"/>
          <w:shd w:val="clear" w:color="auto" w:fill="FFFFFF"/>
        </w:rPr>
      </w:pPr>
      <w:bookmarkStart w:id="8" w:name="_Toc120609555"/>
      <w:r w:rsidRPr="00F658E7">
        <w:rPr>
          <w:color w:val="auto"/>
          <w:shd w:val="clear" w:color="auto" w:fill="FFFFFF"/>
        </w:rPr>
        <w:t>1.1.4 Accessibility services data</w:t>
      </w:r>
      <w:bookmarkEnd w:id="8"/>
    </w:p>
    <w:p w14:paraId="2D6042B7" w14:textId="48DC779E" w:rsidR="00BC094A" w:rsidRPr="00D910F0" w:rsidRDefault="00BC094A" w:rsidP="0012782C">
      <w:pPr>
        <w:spacing w:line="240" w:lineRule="auto"/>
      </w:pPr>
      <w:r w:rsidRPr="00665B84">
        <w:t xml:space="preserve">Accessibility Services report </w:t>
      </w:r>
      <w:r w:rsidRPr="00D910F0">
        <w:t xml:space="preserve">data to the TEC annually. Below </w:t>
      </w:r>
      <w:r w:rsidR="0062115A" w:rsidRPr="00D910F0">
        <w:t>are</w:t>
      </w:r>
      <w:r w:rsidRPr="00D910F0">
        <w:t xml:space="preserve"> data reported in 2021 and 2022. In 2021 no data </w:t>
      </w:r>
      <w:r w:rsidR="0062115A" w:rsidRPr="00D910F0">
        <w:t xml:space="preserve">were </w:t>
      </w:r>
      <w:r w:rsidRPr="00D910F0">
        <w:t xml:space="preserve">available that reported </w:t>
      </w:r>
      <w:r w:rsidR="00900B94" w:rsidRPr="00D910F0">
        <w:t>t</w:t>
      </w:r>
      <w:r w:rsidRPr="00D910F0">
        <w:t>he primary disability identities of students who registered with the service – th</w:t>
      </w:r>
      <w:r w:rsidR="0062115A" w:rsidRPr="00D910F0">
        <w:t>ese</w:t>
      </w:r>
      <w:r w:rsidRPr="00D910F0">
        <w:t xml:space="preserve"> data </w:t>
      </w:r>
      <w:r w:rsidR="00136A28" w:rsidRPr="00D910F0">
        <w:t xml:space="preserve">were </w:t>
      </w:r>
      <w:r w:rsidRPr="00D910F0">
        <w:t xml:space="preserve">reported for 2022. </w:t>
      </w:r>
    </w:p>
    <w:p w14:paraId="422A82D2" w14:textId="36E8B53E" w:rsidR="00BC094A" w:rsidRPr="00D910F0" w:rsidRDefault="00BC094A" w:rsidP="0012782C">
      <w:pPr>
        <w:spacing w:line="240" w:lineRule="auto"/>
      </w:pPr>
      <w:r w:rsidRPr="00D910F0">
        <w:t xml:space="preserve">The following data in </w:t>
      </w:r>
      <w:r w:rsidR="009F2B55">
        <w:t>T</w:t>
      </w:r>
      <w:r w:rsidR="009F2B55" w:rsidRPr="00D910F0">
        <w:t xml:space="preserve">ables </w:t>
      </w:r>
      <w:r w:rsidR="00A15EE1">
        <w:t>9</w:t>
      </w:r>
      <w:r w:rsidR="00A15EE1" w:rsidRPr="00D910F0">
        <w:t xml:space="preserve"> </w:t>
      </w:r>
      <w:r w:rsidRPr="00D910F0">
        <w:t xml:space="preserve">and </w:t>
      </w:r>
      <w:r w:rsidR="00A15EE1">
        <w:t>11</w:t>
      </w:r>
      <w:r w:rsidR="00A15EE1" w:rsidRPr="00D910F0">
        <w:t xml:space="preserve"> </w:t>
      </w:r>
      <w:r w:rsidRPr="00D910F0">
        <w:t xml:space="preserve">indicate </w:t>
      </w:r>
      <w:r w:rsidR="00A15EE1">
        <w:t>the volume of</w:t>
      </w:r>
      <w:r w:rsidRPr="00D910F0">
        <w:t xml:space="preserve"> students registered with Accessibility Services, </w:t>
      </w:r>
      <w:r w:rsidR="00A15EE1">
        <w:t xml:space="preserve">and </w:t>
      </w:r>
      <w:r w:rsidR="00934758" w:rsidRPr="00D910F0">
        <w:t>t</w:t>
      </w:r>
      <w:r w:rsidR="00A15EE1">
        <w:t>he</w:t>
      </w:r>
      <w:r w:rsidR="00934758" w:rsidRPr="00D910F0">
        <w:t xml:space="preserve"> ‘provisions of support’ (see Table </w:t>
      </w:r>
      <w:r w:rsidR="00A15EE1">
        <w:t>11</w:t>
      </w:r>
      <w:r w:rsidR="00934758" w:rsidRPr="00D910F0">
        <w:t xml:space="preserve">). This reflects that </w:t>
      </w:r>
      <w:r w:rsidR="00A15EE1">
        <w:t xml:space="preserve">not all students registered with the </w:t>
      </w:r>
      <w:r w:rsidR="008E6338">
        <w:t xml:space="preserve">Accessibility </w:t>
      </w:r>
      <w:r w:rsidR="00A15EE1">
        <w:t>Service</w:t>
      </w:r>
      <w:r w:rsidR="008E6338">
        <w:t>s</w:t>
      </w:r>
      <w:r w:rsidR="00A15EE1">
        <w:t xml:space="preserve"> sought support for their disability.</w:t>
      </w:r>
    </w:p>
    <w:p w14:paraId="6D33AE94" w14:textId="7232F09E" w:rsidR="00BC094A" w:rsidRPr="00D910F0" w:rsidRDefault="00BC094A" w:rsidP="0012782C">
      <w:pPr>
        <w:spacing w:line="240" w:lineRule="auto"/>
        <w:rPr>
          <w:b/>
        </w:rPr>
      </w:pPr>
      <w:r w:rsidRPr="00D910F0">
        <w:rPr>
          <w:b/>
        </w:rPr>
        <w:t xml:space="preserve">TABLE </w:t>
      </w:r>
      <w:r w:rsidR="004724B6">
        <w:rPr>
          <w:b/>
        </w:rPr>
        <w:t>9:</w:t>
      </w:r>
      <w:r w:rsidR="004724B6" w:rsidRPr="00D910F0">
        <w:rPr>
          <w:b/>
        </w:rPr>
        <w:t xml:space="preserve"> </w:t>
      </w:r>
      <w:r w:rsidRPr="00D910F0">
        <w:rPr>
          <w:b/>
        </w:rPr>
        <w:t>Disabled students registered with Accessibility Services 2021</w:t>
      </w:r>
    </w:p>
    <w:tbl>
      <w:tblPr>
        <w:tblStyle w:val="TableGrid"/>
        <w:tblW w:w="0" w:type="auto"/>
        <w:tblLook w:val="04A0" w:firstRow="1" w:lastRow="0" w:firstColumn="1" w:lastColumn="0" w:noHBand="0" w:noVBand="1"/>
      </w:tblPr>
      <w:tblGrid>
        <w:gridCol w:w="4531"/>
        <w:gridCol w:w="2242"/>
        <w:gridCol w:w="2243"/>
      </w:tblGrid>
      <w:tr w:rsidR="00D910F0" w:rsidRPr="00D910F0" w14:paraId="5A638B52" w14:textId="060D3AF9" w:rsidTr="00F658E7">
        <w:tc>
          <w:tcPr>
            <w:tcW w:w="4531" w:type="dxa"/>
            <w:shd w:val="clear" w:color="auto" w:fill="B4C6E7" w:themeFill="accent1" w:themeFillTint="66"/>
          </w:tcPr>
          <w:p w14:paraId="36567842" w14:textId="1BF7B7F5" w:rsidR="00440053" w:rsidRPr="00D910F0" w:rsidRDefault="00440053" w:rsidP="0012782C">
            <w:pPr>
              <w:rPr>
                <w:b/>
              </w:rPr>
            </w:pPr>
            <w:r w:rsidRPr="00D910F0">
              <w:rPr>
                <w:b/>
              </w:rPr>
              <w:t>Campus</w:t>
            </w:r>
          </w:p>
        </w:tc>
        <w:tc>
          <w:tcPr>
            <w:tcW w:w="2242" w:type="dxa"/>
            <w:shd w:val="clear" w:color="auto" w:fill="B4C6E7" w:themeFill="accent1" w:themeFillTint="66"/>
          </w:tcPr>
          <w:p w14:paraId="2E5051EC" w14:textId="0894D85F" w:rsidR="00440053" w:rsidRPr="00D910F0" w:rsidRDefault="00440053" w:rsidP="0012782C">
            <w:pPr>
              <w:jc w:val="center"/>
              <w:rPr>
                <w:b/>
              </w:rPr>
            </w:pPr>
            <w:r w:rsidRPr="00D910F0">
              <w:rPr>
                <w:b/>
              </w:rPr>
              <w:t>2021</w:t>
            </w:r>
          </w:p>
        </w:tc>
        <w:tc>
          <w:tcPr>
            <w:tcW w:w="2243" w:type="dxa"/>
            <w:shd w:val="clear" w:color="auto" w:fill="B4C6E7" w:themeFill="accent1" w:themeFillTint="66"/>
          </w:tcPr>
          <w:p w14:paraId="449C26CB" w14:textId="72263B07" w:rsidR="00440053" w:rsidRPr="00D910F0" w:rsidRDefault="00440053" w:rsidP="0012782C">
            <w:pPr>
              <w:jc w:val="center"/>
              <w:rPr>
                <w:b/>
              </w:rPr>
            </w:pPr>
            <w:r w:rsidRPr="00D910F0">
              <w:rPr>
                <w:b/>
              </w:rPr>
              <w:t>2022</w:t>
            </w:r>
          </w:p>
        </w:tc>
      </w:tr>
      <w:tr w:rsidR="00D910F0" w:rsidRPr="00D910F0" w14:paraId="2465B624" w14:textId="35890666" w:rsidTr="00F658E7">
        <w:tc>
          <w:tcPr>
            <w:tcW w:w="4531" w:type="dxa"/>
          </w:tcPr>
          <w:p w14:paraId="37E4B8A8" w14:textId="460A26BD" w:rsidR="00440053" w:rsidRPr="00D910F0" w:rsidRDefault="00440053" w:rsidP="0012782C">
            <w:r w:rsidRPr="00D910F0">
              <w:t>Hamilton</w:t>
            </w:r>
          </w:p>
        </w:tc>
        <w:tc>
          <w:tcPr>
            <w:tcW w:w="2242" w:type="dxa"/>
          </w:tcPr>
          <w:p w14:paraId="5C8CE623" w14:textId="5FF97F7A" w:rsidR="00440053" w:rsidRPr="00D910F0" w:rsidRDefault="00440053" w:rsidP="0012782C">
            <w:pPr>
              <w:jc w:val="right"/>
            </w:pPr>
            <w:r w:rsidRPr="00D910F0">
              <w:t>260</w:t>
            </w:r>
          </w:p>
        </w:tc>
        <w:tc>
          <w:tcPr>
            <w:tcW w:w="2243" w:type="dxa"/>
          </w:tcPr>
          <w:p w14:paraId="64C749EC" w14:textId="1035CA5A" w:rsidR="00440053" w:rsidRPr="00D910F0" w:rsidRDefault="00440053" w:rsidP="0012782C">
            <w:pPr>
              <w:jc w:val="right"/>
            </w:pPr>
            <w:r w:rsidRPr="00D910F0">
              <w:t>217</w:t>
            </w:r>
          </w:p>
        </w:tc>
      </w:tr>
      <w:tr w:rsidR="00D910F0" w:rsidRPr="00D910F0" w14:paraId="135396A1" w14:textId="4C6BDEE4" w:rsidTr="00F658E7">
        <w:tc>
          <w:tcPr>
            <w:tcW w:w="4531" w:type="dxa"/>
          </w:tcPr>
          <w:p w14:paraId="6D094C5B" w14:textId="37C224B4" w:rsidR="00440053" w:rsidRPr="00D910F0" w:rsidRDefault="00440053" w:rsidP="0012782C">
            <w:r w:rsidRPr="00D910F0">
              <w:t>Remote/Online</w:t>
            </w:r>
          </w:p>
        </w:tc>
        <w:tc>
          <w:tcPr>
            <w:tcW w:w="2242" w:type="dxa"/>
          </w:tcPr>
          <w:p w14:paraId="18C331A0" w14:textId="67601629" w:rsidR="00440053" w:rsidRPr="00D910F0" w:rsidRDefault="00440053" w:rsidP="0012782C">
            <w:pPr>
              <w:jc w:val="right"/>
            </w:pPr>
            <w:r w:rsidRPr="00D910F0">
              <w:t>11</w:t>
            </w:r>
          </w:p>
        </w:tc>
        <w:tc>
          <w:tcPr>
            <w:tcW w:w="2243" w:type="dxa"/>
          </w:tcPr>
          <w:p w14:paraId="6152A9D7" w14:textId="5A5EC504" w:rsidR="00440053" w:rsidRPr="00D910F0" w:rsidRDefault="00440053" w:rsidP="0012782C">
            <w:pPr>
              <w:jc w:val="right"/>
            </w:pPr>
            <w:r w:rsidRPr="00D910F0">
              <w:t>13</w:t>
            </w:r>
          </w:p>
        </w:tc>
      </w:tr>
      <w:tr w:rsidR="00D910F0" w:rsidRPr="00D910F0" w14:paraId="05021C72" w14:textId="3B4A9537" w:rsidTr="00F658E7">
        <w:tc>
          <w:tcPr>
            <w:tcW w:w="4531" w:type="dxa"/>
          </w:tcPr>
          <w:p w14:paraId="08C64741" w14:textId="18F08D1F" w:rsidR="00440053" w:rsidRPr="00D910F0" w:rsidRDefault="00440053" w:rsidP="0012782C">
            <w:r w:rsidRPr="00D910F0">
              <w:t>Tauranga</w:t>
            </w:r>
          </w:p>
        </w:tc>
        <w:tc>
          <w:tcPr>
            <w:tcW w:w="2242" w:type="dxa"/>
          </w:tcPr>
          <w:p w14:paraId="39A834E6" w14:textId="4CED5652" w:rsidR="00440053" w:rsidRPr="00D910F0" w:rsidRDefault="00440053" w:rsidP="0012782C">
            <w:pPr>
              <w:jc w:val="right"/>
            </w:pPr>
            <w:r w:rsidRPr="00D910F0">
              <w:t>37</w:t>
            </w:r>
          </w:p>
        </w:tc>
        <w:tc>
          <w:tcPr>
            <w:tcW w:w="2243" w:type="dxa"/>
          </w:tcPr>
          <w:p w14:paraId="374B3F57" w14:textId="183E6D11" w:rsidR="00440053" w:rsidRPr="00D910F0" w:rsidRDefault="00440053" w:rsidP="0012782C">
            <w:pPr>
              <w:jc w:val="right"/>
            </w:pPr>
            <w:r w:rsidRPr="00D910F0">
              <w:t>41</w:t>
            </w:r>
          </w:p>
        </w:tc>
      </w:tr>
      <w:tr w:rsidR="00D910F0" w:rsidRPr="00D910F0" w14:paraId="1CE9DB0E" w14:textId="5CC9B6B5" w:rsidTr="00F658E7">
        <w:tc>
          <w:tcPr>
            <w:tcW w:w="4531" w:type="dxa"/>
          </w:tcPr>
          <w:p w14:paraId="3D0A006E" w14:textId="3439DBF3" w:rsidR="00440053" w:rsidRPr="00D910F0" w:rsidRDefault="00440053" w:rsidP="0012782C">
            <w:pPr>
              <w:rPr>
                <w:b/>
              </w:rPr>
            </w:pPr>
            <w:r w:rsidRPr="00D910F0">
              <w:rPr>
                <w:b/>
              </w:rPr>
              <w:t>Total</w:t>
            </w:r>
          </w:p>
        </w:tc>
        <w:tc>
          <w:tcPr>
            <w:tcW w:w="2242" w:type="dxa"/>
          </w:tcPr>
          <w:p w14:paraId="43BF4C95" w14:textId="1C56D1CD" w:rsidR="00440053" w:rsidRPr="00D910F0" w:rsidRDefault="00440053" w:rsidP="0012782C">
            <w:pPr>
              <w:jc w:val="right"/>
              <w:rPr>
                <w:b/>
              </w:rPr>
            </w:pPr>
            <w:r w:rsidRPr="00D910F0">
              <w:rPr>
                <w:b/>
              </w:rPr>
              <w:t>308</w:t>
            </w:r>
          </w:p>
        </w:tc>
        <w:tc>
          <w:tcPr>
            <w:tcW w:w="2243" w:type="dxa"/>
          </w:tcPr>
          <w:p w14:paraId="4173303F" w14:textId="1A379DAD" w:rsidR="00440053" w:rsidRPr="00D910F0" w:rsidRDefault="00440053" w:rsidP="0012782C">
            <w:pPr>
              <w:jc w:val="right"/>
              <w:rPr>
                <w:b/>
              </w:rPr>
            </w:pPr>
            <w:r w:rsidRPr="00D910F0">
              <w:rPr>
                <w:b/>
              </w:rPr>
              <w:t>271</w:t>
            </w:r>
          </w:p>
        </w:tc>
      </w:tr>
    </w:tbl>
    <w:p w14:paraId="27F7158F" w14:textId="4B7AE90B" w:rsidR="00440053" w:rsidRPr="00D910F0" w:rsidRDefault="00440053" w:rsidP="0012782C">
      <w:pPr>
        <w:spacing w:before="160" w:line="240" w:lineRule="auto"/>
        <w:rPr>
          <w:b/>
        </w:rPr>
      </w:pPr>
      <w:r w:rsidRPr="00D910F0">
        <w:rPr>
          <w:b/>
        </w:rPr>
        <w:t xml:space="preserve">TABLE </w:t>
      </w:r>
      <w:r w:rsidR="004724B6">
        <w:rPr>
          <w:b/>
        </w:rPr>
        <w:t>10:</w:t>
      </w:r>
      <w:r w:rsidRPr="00D910F0">
        <w:rPr>
          <w:b/>
        </w:rPr>
        <w:t xml:space="preserve"> Proportion of students reporting a disability who register with Accessibility Services</w:t>
      </w:r>
    </w:p>
    <w:tbl>
      <w:tblPr>
        <w:tblStyle w:val="TableGrid"/>
        <w:tblW w:w="0" w:type="auto"/>
        <w:tblLook w:val="04A0" w:firstRow="1" w:lastRow="0" w:firstColumn="1" w:lastColumn="0" w:noHBand="0" w:noVBand="1"/>
      </w:tblPr>
      <w:tblGrid>
        <w:gridCol w:w="4531"/>
        <w:gridCol w:w="2268"/>
        <w:gridCol w:w="2217"/>
      </w:tblGrid>
      <w:tr w:rsidR="00D910F0" w:rsidRPr="00D910F0" w14:paraId="4758CA5A" w14:textId="77777777" w:rsidTr="00F658E7">
        <w:tc>
          <w:tcPr>
            <w:tcW w:w="4531" w:type="dxa"/>
            <w:shd w:val="clear" w:color="auto" w:fill="B4C6E7" w:themeFill="accent1" w:themeFillTint="66"/>
          </w:tcPr>
          <w:p w14:paraId="5BDDDB28" w14:textId="77777777" w:rsidR="00440053" w:rsidRPr="00D910F0" w:rsidRDefault="00440053" w:rsidP="0012782C">
            <w:pPr>
              <w:rPr>
                <w:b/>
              </w:rPr>
            </w:pPr>
          </w:p>
        </w:tc>
        <w:tc>
          <w:tcPr>
            <w:tcW w:w="2268" w:type="dxa"/>
            <w:shd w:val="clear" w:color="auto" w:fill="B4C6E7" w:themeFill="accent1" w:themeFillTint="66"/>
          </w:tcPr>
          <w:p w14:paraId="692D62A6" w14:textId="6DABFF30" w:rsidR="00440053" w:rsidRPr="00D910F0" w:rsidRDefault="00440053" w:rsidP="0012782C">
            <w:pPr>
              <w:jc w:val="center"/>
              <w:rPr>
                <w:b/>
              </w:rPr>
            </w:pPr>
            <w:r w:rsidRPr="00D910F0">
              <w:rPr>
                <w:b/>
              </w:rPr>
              <w:t>2021</w:t>
            </w:r>
          </w:p>
        </w:tc>
        <w:tc>
          <w:tcPr>
            <w:tcW w:w="2217" w:type="dxa"/>
            <w:shd w:val="clear" w:color="auto" w:fill="B4C6E7" w:themeFill="accent1" w:themeFillTint="66"/>
          </w:tcPr>
          <w:p w14:paraId="0D2E6156" w14:textId="59B44236" w:rsidR="00440053" w:rsidRPr="00D910F0" w:rsidRDefault="00440053" w:rsidP="0012782C">
            <w:pPr>
              <w:jc w:val="center"/>
              <w:rPr>
                <w:b/>
              </w:rPr>
            </w:pPr>
            <w:r w:rsidRPr="00D910F0">
              <w:rPr>
                <w:b/>
              </w:rPr>
              <w:t>2022</w:t>
            </w:r>
          </w:p>
        </w:tc>
      </w:tr>
      <w:tr w:rsidR="00D910F0" w:rsidRPr="006E6759" w14:paraId="737F06CA" w14:textId="77777777" w:rsidTr="00F658E7">
        <w:tc>
          <w:tcPr>
            <w:tcW w:w="4531" w:type="dxa"/>
          </w:tcPr>
          <w:p w14:paraId="3457BBAF" w14:textId="27E5FC7F" w:rsidR="00440053" w:rsidRPr="00F658E7" w:rsidRDefault="00440053" w:rsidP="0012782C">
            <w:pPr>
              <w:rPr>
                <w:bCs/>
              </w:rPr>
            </w:pPr>
            <w:r w:rsidRPr="00F658E7">
              <w:rPr>
                <w:bCs/>
              </w:rPr>
              <w:t xml:space="preserve">Students reporting a disability who </w:t>
            </w:r>
            <w:r w:rsidR="00604D21">
              <w:rPr>
                <w:bCs/>
              </w:rPr>
              <w:t>have</w:t>
            </w:r>
            <w:r w:rsidRPr="00F658E7">
              <w:rPr>
                <w:bCs/>
              </w:rPr>
              <w:t xml:space="preserve"> registered with Accessibility Services</w:t>
            </w:r>
          </w:p>
        </w:tc>
        <w:tc>
          <w:tcPr>
            <w:tcW w:w="2268" w:type="dxa"/>
          </w:tcPr>
          <w:p w14:paraId="24C7EC03" w14:textId="601C45B2" w:rsidR="00440053" w:rsidRPr="00F658E7" w:rsidRDefault="00440053" w:rsidP="0012782C">
            <w:pPr>
              <w:jc w:val="right"/>
              <w:rPr>
                <w:bCs/>
              </w:rPr>
            </w:pPr>
            <w:r w:rsidRPr="00F658E7">
              <w:rPr>
                <w:bCs/>
              </w:rPr>
              <w:t>32.0%</w:t>
            </w:r>
          </w:p>
        </w:tc>
        <w:tc>
          <w:tcPr>
            <w:tcW w:w="2217" w:type="dxa"/>
          </w:tcPr>
          <w:p w14:paraId="24B5F4DA" w14:textId="720DC441" w:rsidR="00440053" w:rsidRPr="00F658E7" w:rsidRDefault="00440053" w:rsidP="0012782C">
            <w:pPr>
              <w:jc w:val="right"/>
              <w:rPr>
                <w:bCs/>
              </w:rPr>
            </w:pPr>
            <w:r w:rsidRPr="00F658E7">
              <w:rPr>
                <w:bCs/>
              </w:rPr>
              <w:t>30.1%</w:t>
            </w:r>
          </w:p>
        </w:tc>
      </w:tr>
    </w:tbl>
    <w:p w14:paraId="7A1CD3A6" w14:textId="645AE035" w:rsidR="00440053" w:rsidRPr="00F658E7" w:rsidRDefault="00440053" w:rsidP="0012782C">
      <w:pPr>
        <w:spacing w:before="120" w:line="240" w:lineRule="auto"/>
        <w:rPr>
          <w:bCs/>
        </w:rPr>
      </w:pPr>
      <w:r w:rsidRPr="00F658E7">
        <w:rPr>
          <w:bCs/>
        </w:rPr>
        <w:t xml:space="preserve">Table </w:t>
      </w:r>
      <w:r w:rsidR="00A15EE1">
        <w:rPr>
          <w:bCs/>
        </w:rPr>
        <w:t>10</w:t>
      </w:r>
      <w:r w:rsidRPr="00F658E7">
        <w:rPr>
          <w:bCs/>
        </w:rPr>
        <w:t xml:space="preserve"> shows that a relatively low proportion of students who report having a disability on enrolment go on to register with Accessibility Services. The University will explore opportunities to raise the profile of Accessibility Services and increase registration with the Service over the life of this Plan.</w:t>
      </w:r>
    </w:p>
    <w:p w14:paraId="72A449B2" w14:textId="3E8FA2FB" w:rsidR="00900B94" w:rsidRPr="00F22E21" w:rsidRDefault="00906E5D" w:rsidP="0012782C">
      <w:pPr>
        <w:spacing w:line="240" w:lineRule="auto"/>
        <w:rPr>
          <w:b/>
        </w:rPr>
      </w:pPr>
      <w:r w:rsidRPr="00665B84">
        <w:rPr>
          <w:b/>
        </w:rPr>
        <w:t xml:space="preserve">TABLE </w:t>
      </w:r>
      <w:r w:rsidR="004724B6">
        <w:rPr>
          <w:b/>
        </w:rPr>
        <w:t>11:</w:t>
      </w:r>
      <w:r w:rsidR="004724B6" w:rsidRPr="00665B84">
        <w:rPr>
          <w:b/>
        </w:rPr>
        <w:t xml:space="preserve"> </w:t>
      </w:r>
      <w:r w:rsidRPr="00665B84">
        <w:rPr>
          <w:b/>
        </w:rPr>
        <w:t>Primary suppor</w:t>
      </w:r>
      <w:r w:rsidRPr="00F22E21">
        <w:rPr>
          <w:b/>
        </w:rPr>
        <w:t xml:space="preserve">t </w:t>
      </w:r>
    </w:p>
    <w:tbl>
      <w:tblPr>
        <w:tblStyle w:val="TableGrid"/>
        <w:tblW w:w="0" w:type="auto"/>
        <w:tblLook w:val="04A0" w:firstRow="1" w:lastRow="0" w:firstColumn="1" w:lastColumn="0" w:noHBand="0" w:noVBand="1"/>
      </w:tblPr>
      <w:tblGrid>
        <w:gridCol w:w="4476"/>
        <w:gridCol w:w="2272"/>
        <w:gridCol w:w="2268"/>
      </w:tblGrid>
      <w:tr w:rsidR="00D910F0" w:rsidRPr="00D910F0" w14:paraId="275C33CC" w14:textId="7650B10A" w:rsidTr="00440053">
        <w:tc>
          <w:tcPr>
            <w:tcW w:w="4476" w:type="dxa"/>
            <w:shd w:val="clear" w:color="auto" w:fill="B4C6E7" w:themeFill="accent1" w:themeFillTint="66"/>
          </w:tcPr>
          <w:p w14:paraId="35A23276" w14:textId="0AD0AFBB" w:rsidR="00440053" w:rsidRPr="00D910F0" w:rsidRDefault="00440053" w:rsidP="0012782C">
            <w:pPr>
              <w:rPr>
                <w:b/>
              </w:rPr>
            </w:pPr>
            <w:r w:rsidRPr="00D910F0">
              <w:rPr>
                <w:b/>
              </w:rPr>
              <w:t xml:space="preserve">Primary Support </w:t>
            </w:r>
          </w:p>
        </w:tc>
        <w:tc>
          <w:tcPr>
            <w:tcW w:w="2272" w:type="dxa"/>
            <w:shd w:val="clear" w:color="auto" w:fill="B4C6E7" w:themeFill="accent1" w:themeFillTint="66"/>
          </w:tcPr>
          <w:p w14:paraId="2A76B721" w14:textId="1D2D97AB" w:rsidR="00440053" w:rsidRPr="00D910F0" w:rsidRDefault="00440053" w:rsidP="0012782C">
            <w:pPr>
              <w:jc w:val="center"/>
              <w:rPr>
                <w:b/>
              </w:rPr>
            </w:pPr>
            <w:r w:rsidRPr="00D910F0">
              <w:rPr>
                <w:b/>
              </w:rPr>
              <w:t>2021</w:t>
            </w:r>
          </w:p>
        </w:tc>
        <w:tc>
          <w:tcPr>
            <w:tcW w:w="2268" w:type="dxa"/>
            <w:shd w:val="clear" w:color="auto" w:fill="B4C6E7" w:themeFill="accent1" w:themeFillTint="66"/>
          </w:tcPr>
          <w:p w14:paraId="10A4C32C" w14:textId="15BC09D1" w:rsidR="00440053" w:rsidRPr="00D910F0" w:rsidRDefault="00440053" w:rsidP="0012782C">
            <w:pPr>
              <w:jc w:val="center"/>
              <w:rPr>
                <w:b/>
              </w:rPr>
            </w:pPr>
            <w:r w:rsidRPr="00D910F0">
              <w:rPr>
                <w:b/>
              </w:rPr>
              <w:t>2022</w:t>
            </w:r>
          </w:p>
        </w:tc>
      </w:tr>
      <w:tr w:rsidR="00D910F0" w:rsidRPr="00D910F0" w14:paraId="3D54AA3D" w14:textId="1BE03040" w:rsidTr="00440053">
        <w:tc>
          <w:tcPr>
            <w:tcW w:w="4476" w:type="dxa"/>
          </w:tcPr>
          <w:p w14:paraId="173BE58A" w14:textId="471E0BF2" w:rsidR="00440053" w:rsidRPr="00D910F0" w:rsidRDefault="00440053" w:rsidP="0012782C">
            <w:r w:rsidRPr="00D910F0">
              <w:t>1-1 support (short term)</w:t>
            </w:r>
          </w:p>
        </w:tc>
        <w:tc>
          <w:tcPr>
            <w:tcW w:w="2272" w:type="dxa"/>
          </w:tcPr>
          <w:p w14:paraId="6FE19D19" w14:textId="576F7CCA" w:rsidR="00440053" w:rsidRPr="00D910F0" w:rsidRDefault="00440053" w:rsidP="0012782C">
            <w:pPr>
              <w:jc w:val="right"/>
            </w:pPr>
            <w:r w:rsidRPr="00D910F0">
              <w:t>7</w:t>
            </w:r>
          </w:p>
        </w:tc>
        <w:tc>
          <w:tcPr>
            <w:tcW w:w="2268" w:type="dxa"/>
          </w:tcPr>
          <w:p w14:paraId="02A7C2BF" w14:textId="50F0380B" w:rsidR="00440053" w:rsidRPr="00D910F0" w:rsidRDefault="00440053" w:rsidP="0012782C">
            <w:pPr>
              <w:jc w:val="right"/>
            </w:pPr>
            <w:r w:rsidRPr="00D910F0">
              <w:t>2</w:t>
            </w:r>
          </w:p>
        </w:tc>
      </w:tr>
      <w:tr w:rsidR="00D910F0" w:rsidRPr="00D910F0" w14:paraId="777C5FA5" w14:textId="78E6D567" w:rsidTr="00440053">
        <w:tc>
          <w:tcPr>
            <w:tcW w:w="4476" w:type="dxa"/>
          </w:tcPr>
          <w:p w14:paraId="7413BE33" w14:textId="3AB689B9" w:rsidR="00440053" w:rsidRPr="00D910F0" w:rsidRDefault="00440053" w:rsidP="0012782C">
            <w:r w:rsidRPr="00D910F0">
              <w:t>Case management</w:t>
            </w:r>
          </w:p>
        </w:tc>
        <w:tc>
          <w:tcPr>
            <w:tcW w:w="2272" w:type="dxa"/>
          </w:tcPr>
          <w:p w14:paraId="347494C7" w14:textId="5C259C15" w:rsidR="00440053" w:rsidRPr="00D910F0" w:rsidRDefault="00440053" w:rsidP="0012782C">
            <w:pPr>
              <w:jc w:val="right"/>
            </w:pPr>
            <w:r w:rsidRPr="00D910F0">
              <w:t>18</w:t>
            </w:r>
          </w:p>
        </w:tc>
        <w:tc>
          <w:tcPr>
            <w:tcW w:w="2268" w:type="dxa"/>
          </w:tcPr>
          <w:p w14:paraId="4A95BD37" w14:textId="4C57A870" w:rsidR="00440053" w:rsidRPr="00D910F0" w:rsidRDefault="00440053" w:rsidP="0012782C">
            <w:pPr>
              <w:jc w:val="right"/>
            </w:pPr>
            <w:r w:rsidRPr="00D910F0">
              <w:t>23</w:t>
            </w:r>
          </w:p>
        </w:tc>
      </w:tr>
      <w:tr w:rsidR="00D910F0" w:rsidRPr="00D910F0" w14:paraId="11ACCF7A" w14:textId="6D88CE01" w:rsidTr="00440053">
        <w:tc>
          <w:tcPr>
            <w:tcW w:w="4476" w:type="dxa"/>
          </w:tcPr>
          <w:p w14:paraId="796E3679" w14:textId="11C83E60" w:rsidR="00440053" w:rsidRPr="00D910F0" w:rsidRDefault="00440053" w:rsidP="0012782C">
            <w:r w:rsidRPr="00D910F0">
              <w:t>Note taking</w:t>
            </w:r>
          </w:p>
        </w:tc>
        <w:tc>
          <w:tcPr>
            <w:tcW w:w="2272" w:type="dxa"/>
          </w:tcPr>
          <w:p w14:paraId="142CB1C7" w14:textId="51706CC8" w:rsidR="00440053" w:rsidRPr="00D910F0" w:rsidRDefault="00440053" w:rsidP="0012782C">
            <w:pPr>
              <w:jc w:val="right"/>
            </w:pPr>
            <w:r w:rsidRPr="00D910F0">
              <w:t>15</w:t>
            </w:r>
          </w:p>
        </w:tc>
        <w:tc>
          <w:tcPr>
            <w:tcW w:w="2268" w:type="dxa"/>
          </w:tcPr>
          <w:p w14:paraId="3453F333" w14:textId="19166C6E" w:rsidR="00440053" w:rsidRPr="00D910F0" w:rsidRDefault="00440053" w:rsidP="0012782C">
            <w:pPr>
              <w:jc w:val="right"/>
            </w:pPr>
            <w:r w:rsidRPr="00D910F0">
              <w:t>24</w:t>
            </w:r>
          </w:p>
        </w:tc>
      </w:tr>
      <w:tr w:rsidR="00D910F0" w:rsidRPr="00D910F0" w14:paraId="16787887" w14:textId="13A5C8AB" w:rsidTr="00440053">
        <w:tc>
          <w:tcPr>
            <w:tcW w:w="4476" w:type="dxa"/>
          </w:tcPr>
          <w:p w14:paraId="2DA026EE" w14:textId="3BCE93ED" w:rsidR="00440053" w:rsidRPr="00D910F0" w:rsidRDefault="00440053" w:rsidP="0012782C">
            <w:r w:rsidRPr="00D910F0">
              <w:t>Reader/Writer (in class)</w:t>
            </w:r>
          </w:p>
        </w:tc>
        <w:tc>
          <w:tcPr>
            <w:tcW w:w="2272" w:type="dxa"/>
          </w:tcPr>
          <w:p w14:paraId="7402475C" w14:textId="610A1E87" w:rsidR="00440053" w:rsidRPr="00D910F0" w:rsidRDefault="00440053" w:rsidP="0012782C">
            <w:pPr>
              <w:jc w:val="right"/>
            </w:pPr>
            <w:r w:rsidRPr="00D910F0">
              <w:t>2</w:t>
            </w:r>
          </w:p>
        </w:tc>
        <w:tc>
          <w:tcPr>
            <w:tcW w:w="2268" w:type="dxa"/>
          </w:tcPr>
          <w:p w14:paraId="5A0FF321" w14:textId="2CFC733D" w:rsidR="00440053" w:rsidRPr="00D910F0" w:rsidRDefault="00440053" w:rsidP="0012782C">
            <w:pPr>
              <w:jc w:val="right"/>
            </w:pPr>
            <w:r w:rsidRPr="00D910F0">
              <w:t>-</w:t>
            </w:r>
          </w:p>
        </w:tc>
      </w:tr>
      <w:tr w:rsidR="00D910F0" w:rsidRPr="00D910F0" w14:paraId="7CEC8D9E" w14:textId="30EF1CDE" w:rsidTr="00440053">
        <w:tc>
          <w:tcPr>
            <w:tcW w:w="4476" w:type="dxa"/>
          </w:tcPr>
          <w:p w14:paraId="0AFBE484" w14:textId="6CEAE8C3" w:rsidR="00440053" w:rsidRPr="00D910F0" w:rsidRDefault="00440053" w:rsidP="0012782C">
            <w:r w:rsidRPr="00D910F0">
              <w:t>Student success plan</w:t>
            </w:r>
          </w:p>
        </w:tc>
        <w:tc>
          <w:tcPr>
            <w:tcW w:w="2272" w:type="dxa"/>
          </w:tcPr>
          <w:p w14:paraId="7C7A5A71" w14:textId="5C421422" w:rsidR="00440053" w:rsidRPr="00D910F0" w:rsidRDefault="00440053" w:rsidP="0012782C">
            <w:pPr>
              <w:jc w:val="right"/>
            </w:pPr>
            <w:r w:rsidRPr="00D910F0">
              <w:t>2</w:t>
            </w:r>
          </w:p>
        </w:tc>
        <w:tc>
          <w:tcPr>
            <w:tcW w:w="2268" w:type="dxa"/>
          </w:tcPr>
          <w:p w14:paraId="60334F5B" w14:textId="1A2ECBEC" w:rsidR="00440053" w:rsidRPr="00D910F0" w:rsidRDefault="00440053" w:rsidP="0012782C">
            <w:pPr>
              <w:jc w:val="right"/>
            </w:pPr>
            <w:r w:rsidRPr="00D910F0">
              <w:t>1</w:t>
            </w:r>
          </w:p>
        </w:tc>
      </w:tr>
      <w:tr w:rsidR="00D910F0" w:rsidRPr="00D910F0" w14:paraId="27F99ECB" w14:textId="2B7846AD" w:rsidTr="00440053">
        <w:tc>
          <w:tcPr>
            <w:tcW w:w="4476" w:type="dxa"/>
          </w:tcPr>
          <w:p w14:paraId="724D12E9" w14:textId="1ECE0352" w:rsidR="00440053" w:rsidRPr="00D910F0" w:rsidRDefault="00440053" w:rsidP="0012782C">
            <w:r w:rsidRPr="00D910F0">
              <w:t>Test/Exam support</w:t>
            </w:r>
          </w:p>
        </w:tc>
        <w:tc>
          <w:tcPr>
            <w:tcW w:w="2272" w:type="dxa"/>
          </w:tcPr>
          <w:p w14:paraId="11DB5FDF" w14:textId="6733467F" w:rsidR="00440053" w:rsidRPr="00D910F0" w:rsidRDefault="00440053" w:rsidP="0012782C">
            <w:pPr>
              <w:jc w:val="right"/>
            </w:pPr>
            <w:r w:rsidRPr="00D910F0">
              <w:t>216</w:t>
            </w:r>
          </w:p>
        </w:tc>
        <w:tc>
          <w:tcPr>
            <w:tcW w:w="2268" w:type="dxa"/>
          </w:tcPr>
          <w:p w14:paraId="403C34E9" w14:textId="22AC1527" w:rsidR="00440053" w:rsidRPr="00D910F0" w:rsidRDefault="00440053" w:rsidP="0012782C">
            <w:pPr>
              <w:jc w:val="right"/>
            </w:pPr>
            <w:r w:rsidRPr="00D910F0">
              <w:t>199</w:t>
            </w:r>
          </w:p>
        </w:tc>
      </w:tr>
      <w:tr w:rsidR="00D910F0" w:rsidRPr="00D910F0" w14:paraId="58E1443D" w14:textId="60C6B538" w:rsidTr="00440053">
        <w:tc>
          <w:tcPr>
            <w:tcW w:w="4476" w:type="dxa"/>
          </w:tcPr>
          <w:p w14:paraId="466FBCC6" w14:textId="1D31947C" w:rsidR="00440053" w:rsidRPr="00D910F0" w:rsidRDefault="00440053" w:rsidP="0012782C">
            <w:pPr>
              <w:rPr>
                <w:b/>
              </w:rPr>
            </w:pPr>
            <w:r w:rsidRPr="00D910F0">
              <w:rPr>
                <w:b/>
              </w:rPr>
              <w:t>Total</w:t>
            </w:r>
          </w:p>
        </w:tc>
        <w:tc>
          <w:tcPr>
            <w:tcW w:w="2272" w:type="dxa"/>
          </w:tcPr>
          <w:p w14:paraId="47A9D1C5" w14:textId="488705B4" w:rsidR="00440053" w:rsidRPr="00D910F0" w:rsidRDefault="00440053" w:rsidP="0012782C">
            <w:pPr>
              <w:jc w:val="right"/>
              <w:rPr>
                <w:b/>
              </w:rPr>
            </w:pPr>
            <w:r w:rsidRPr="00D910F0">
              <w:rPr>
                <w:b/>
              </w:rPr>
              <w:t>260</w:t>
            </w:r>
          </w:p>
        </w:tc>
        <w:tc>
          <w:tcPr>
            <w:tcW w:w="2268" w:type="dxa"/>
          </w:tcPr>
          <w:p w14:paraId="422318BC" w14:textId="00B18EDD" w:rsidR="00440053" w:rsidRPr="00D910F0" w:rsidRDefault="00440053" w:rsidP="0012782C">
            <w:pPr>
              <w:jc w:val="right"/>
              <w:rPr>
                <w:b/>
              </w:rPr>
            </w:pPr>
            <w:r w:rsidRPr="00D910F0">
              <w:rPr>
                <w:b/>
              </w:rPr>
              <w:t>249</w:t>
            </w:r>
          </w:p>
        </w:tc>
      </w:tr>
    </w:tbl>
    <w:p w14:paraId="6EF60A34" w14:textId="6E1B3E6C" w:rsidR="00906E5D" w:rsidRPr="00D910F0" w:rsidRDefault="00906E5D" w:rsidP="0012782C">
      <w:pPr>
        <w:spacing w:line="240" w:lineRule="auto"/>
      </w:pPr>
    </w:p>
    <w:p w14:paraId="1377449A" w14:textId="3002F04D" w:rsidR="00D910F0" w:rsidRPr="00D910F0" w:rsidRDefault="00D910F0" w:rsidP="0012782C">
      <w:pPr>
        <w:spacing w:line="240" w:lineRule="auto"/>
      </w:pPr>
      <w:r w:rsidRPr="00D910F0">
        <w:t>In the University’s experience, not all students who register with Accessibility Services will seek specific support. Also, the data in these table</w:t>
      </w:r>
      <w:r w:rsidR="00C21708">
        <w:t>s</w:t>
      </w:r>
      <w:r w:rsidRPr="00D910F0">
        <w:t xml:space="preserve"> are not disaggregated at the student – support level; some students receive more than one type of support, some none and some only one type. There is an opportunity going forward to collect and report this level of data so service use can be more clearly evaluated and potentially linked to outcomes for students. </w:t>
      </w:r>
    </w:p>
    <w:p w14:paraId="26369FDC" w14:textId="276C44A9" w:rsidR="00906E5D" w:rsidRPr="00D910F0" w:rsidRDefault="00906E5D" w:rsidP="0012782C">
      <w:pPr>
        <w:spacing w:line="240" w:lineRule="auto"/>
      </w:pPr>
      <w:r w:rsidRPr="00D910F0">
        <w:t xml:space="preserve">The data in Table </w:t>
      </w:r>
      <w:r w:rsidR="00A15EE1">
        <w:t>11</w:t>
      </w:r>
      <w:r w:rsidR="00A15EE1" w:rsidRPr="00D910F0">
        <w:t xml:space="preserve"> </w:t>
      </w:r>
      <w:r w:rsidRPr="00D910F0">
        <w:t xml:space="preserve">indicates that ‘test/exam support’ </w:t>
      </w:r>
      <w:r w:rsidR="00983945" w:rsidRPr="00D910F0">
        <w:t xml:space="preserve">was </w:t>
      </w:r>
      <w:r w:rsidRPr="00D910F0">
        <w:t>by far the most commonly used support</w:t>
      </w:r>
      <w:r w:rsidR="00983945" w:rsidRPr="00D910F0">
        <w:t xml:space="preserve"> in 2021. </w:t>
      </w:r>
      <w:r w:rsidR="00C67510" w:rsidRPr="00D910F0">
        <w:t xml:space="preserve">While as noted the data </w:t>
      </w:r>
      <w:r w:rsidR="0062115A" w:rsidRPr="00D910F0">
        <w:t>are</w:t>
      </w:r>
      <w:r w:rsidR="00C67510" w:rsidRPr="00D910F0">
        <w:t xml:space="preserve"> not disaggregated at the student-support level, given the large number of provisions of this support it can be assumed many if not m</w:t>
      </w:r>
      <w:r w:rsidR="0062115A" w:rsidRPr="00D910F0">
        <w:t>o</w:t>
      </w:r>
      <w:r w:rsidR="00C67510" w:rsidRPr="00D910F0">
        <w:t xml:space="preserve">st of the disabled students using accessibility services in 2021 were seeking and using this kind of support. </w:t>
      </w:r>
      <w:r w:rsidR="00983945" w:rsidRPr="00D910F0">
        <w:t>This reflects th</w:t>
      </w:r>
      <w:r w:rsidR="00C67510" w:rsidRPr="00D910F0">
        <w:t xml:space="preserve">at a ‘test/exam’ approach to assessment is, or is perceived to be a significant challenge with inbuilt barriers </w:t>
      </w:r>
      <w:r w:rsidR="00983945" w:rsidRPr="00D910F0">
        <w:t xml:space="preserve">for disabled students. </w:t>
      </w:r>
    </w:p>
    <w:p w14:paraId="7D48ADEB" w14:textId="564E3FFF" w:rsidR="005215DE" w:rsidRPr="00D910F0" w:rsidRDefault="00C67510" w:rsidP="0012782C">
      <w:pPr>
        <w:spacing w:line="240" w:lineRule="auto"/>
      </w:pPr>
      <w:r w:rsidRPr="00D910F0">
        <w:t>In 2022 data w</w:t>
      </w:r>
      <w:r w:rsidR="0062115A" w:rsidRPr="00D910F0">
        <w:t>ere</w:t>
      </w:r>
      <w:r w:rsidRPr="00D910F0">
        <w:t xml:space="preserve"> gathered and reported on disability type as indicated in Table </w:t>
      </w:r>
      <w:r w:rsidR="00A15EE1">
        <w:t>12</w:t>
      </w:r>
      <w:r w:rsidR="00A15EE1" w:rsidRPr="00D910F0">
        <w:t xml:space="preserve"> </w:t>
      </w:r>
      <w:r w:rsidRPr="00D910F0">
        <w:t xml:space="preserve">below. It is important to note some students may identify across multiple experiences as </w:t>
      </w:r>
      <w:r w:rsidR="00C21708" w:rsidRPr="00D910F0">
        <w:t>th</w:t>
      </w:r>
      <w:r w:rsidR="00C21708">
        <w:t>ese</w:t>
      </w:r>
      <w:r w:rsidR="00C21708" w:rsidRPr="00D910F0">
        <w:t xml:space="preserve"> </w:t>
      </w:r>
      <w:r w:rsidRPr="00D910F0">
        <w:t xml:space="preserve">data </w:t>
      </w:r>
      <w:r w:rsidR="0062115A" w:rsidRPr="00D910F0">
        <w:t>are</w:t>
      </w:r>
      <w:r w:rsidRPr="00D910F0">
        <w:t xml:space="preserve"> not reporting ‘primary’ disability. It is also important to note that some of the 271 students who registered with Accessibility Services in 2022 may not have indicated ‘disability type’.</w:t>
      </w:r>
    </w:p>
    <w:p w14:paraId="5775F5F6" w14:textId="77777777" w:rsidR="004620A6" w:rsidRDefault="004620A6">
      <w:pPr>
        <w:rPr>
          <w:b/>
        </w:rPr>
      </w:pPr>
      <w:r>
        <w:rPr>
          <w:b/>
        </w:rPr>
        <w:br w:type="page"/>
      </w:r>
    </w:p>
    <w:p w14:paraId="35CE852E" w14:textId="3B3E1344" w:rsidR="00C67510" w:rsidRPr="00D910F0" w:rsidRDefault="00C67510" w:rsidP="0012782C">
      <w:pPr>
        <w:spacing w:line="240" w:lineRule="auto"/>
        <w:rPr>
          <w:b/>
        </w:rPr>
      </w:pPr>
      <w:r w:rsidRPr="00D910F0">
        <w:rPr>
          <w:b/>
        </w:rPr>
        <w:t>TABLE</w:t>
      </w:r>
      <w:r w:rsidR="004724B6">
        <w:rPr>
          <w:b/>
        </w:rPr>
        <w:t xml:space="preserve"> 12:</w:t>
      </w:r>
      <w:r w:rsidRPr="00D910F0">
        <w:rPr>
          <w:b/>
        </w:rPr>
        <w:t xml:space="preserve">  Disability type </w:t>
      </w:r>
      <w:r w:rsidR="00EC20A2" w:rsidRPr="00D910F0">
        <w:rPr>
          <w:b/>
        </w:rPr>
        <w:t>2022</w:t>
      </w:r>
    </w:p>
    <w:tbl>
      <w:tblPr>
        <w:tblStyle w:val="TableGrid"/>
        <w:tblW w:w="0" w:type="auto"/>
        <w:tblLook w:val="04A0" w:firstRow="1" w:lastRow="0" w:firstColumn="1" w:lastColumn="0" w:noHBand="0" w:noVBand="1"/>
      </w:tblPr>
      <w:tblGrid>
        <w:gridCol w:w="4508"/>
        <w:gridCol w:w="2291"/>
      </w:tblGrid>
      <w:tr w:rsidR="00C67510" w:rsidRPr="00D910F0" w14:paraId="11628FD3" w14:textId="77777777" w:rsidTr="00C67510">
        <w:tc>
          <w:tcPr>
            <w:tcW w:w="4508" w:type="dxa"/>
            <w:shd w:val="clear" w:color="auto" w:fill="B4C6E7" w:themeFill="accent1" w:themeFillTint="66"/>
          </w:tcPr>
          <w:p w14:paraId="1B06816E" w14:textId="152768B5" w:rsidR="00C67510" w:rsidRPr="00D910F0" w:rsidRDefault="00C67510" w:rsidP="0012782C">
            <w:pPr>
              <w:rPr>
                <w:b/>
              </w:rPr>
            </w:pPr>
            <w:r w:rsidRPr="00D910F0">
              <w:rPr>
                <w:b/>
              </w:rPr>
              <w:t>Disability</w:t>
            </w:r>
          </w:p>
        </w:tc>
        <w:tc>
          <w:tcPr>
            <w:tcW w:w="2291" w:type="dxa"/>
            <w:shd w:val="clear" w:color="auto" w:fill="B4C6E7" w:themeFill="accent1" w:themeFillTint="66"/>
          </w:tcPr>
          <w:p w14:paraId="63A022C3" w14:textId="77777777" w:rsidR="00C67510" w:rsidRPr="00D910F0" w:rsidRDefault="00C67510" w:rsidP="0012782C"/>
        </w:tc>
      </w:tr>
      <w:tr w:rsidR="00C67510" w:rsidRPr="00D910F0" w14:paraId="583A3A18" w14:textId="77777777" w:rsidTr="00C67510">
        <w:tc>
          <w:tcPr>
            <w:tcW w:w="4508" w:type="dxa"/>
          </w:tcPr>
          <w:p w14:paraId="0D34443B" w14:textId="4CEE1502" w:rsidR="00C67510" w:rsidRPr="00D910F0" w:rsidRDefault="00866AC1" w:rsidP="0012782C">
            <w:r w:rsidRPr="00D910F0">
              <w:t>Vision (impaired)</w:t>
            </w:r>
          </w:p>
        </w:tc>
        <w:tc>
          <w:tcPr>
            <w:tcW w:w="2291" w:type="dxa"/>
          </w:tcPr>
          <w:p w14:paraId="292A5637" w14:textId="3FBFF97E" w:rsidR="00C67510" w:rsidRPr="00D910F0" w:rsidRDefault="00866AC1" w:rsidP="0012782C">
            <w:pPr>
              <w:jc w:val="right"/>
            </w:pPr>
            <w:r w:rsidRPr="00D910F0">
              <w:t>6</w:t>
            </w:r>
          </w:p>
        </w:tc>
      </w:tr>
      <w:tr w:rsidR="00C67510" w:rsidRPr="00D910F0" w14:paraId="72270DAD" w14:textId="77777777" w:rsidTr="00C67510">
        <w:tc>
          <w:tcPr>
            <w:tcW w:w="4508" w:type="dxa"/>
          </w:tcPr>
          <w:p w14:paraId="4CD39AD0" w14:textId="0B06BC15" w:rsidR="00C67510" w:rsidRPr="00D910F0" w:rsidRDefault="00866AC1" w:rsidP="0012782C">
            <w:r w:rsidRPr="00D910F0">
              <w:t>Vision (Blind)</w:t>
            </w:r>
          </w:p>
        </w:tc>
        <w:tc>
          <w:tcPr>
            <w:tcW w:w="2291" w:type="dxa"/>
          </w:tcPr>
          <w:p w14:paraId="6CE6ED35" w14:textId="42D3229A" w:rsidR="00C67510" w:rsidRPr="00D910F0" w:rsidRDefault="00866AC1" w:rsidP="0012782C">
            <w:pPr>
              <w:jc w:val="right"/>
            </w:pPr>
            <w:r w:rsidRPr="00D910F0">
              <w:t>2</w:t>
            </w:r>
          </w:p>
        </w:tc>
      </w:tr>
      <w:tr w:rsidR="00C67510" w:rsidRPr="00D910F0" w14:paraId="15EC0442" w14:textId="77777777" w:rsidTr="00C67510">
        <w:tc>
          <w:tcPr>
            <w:tcW w:w="4508" w:type="dxa"/>
          </w:tcPr>
          <w:p w14:paraId="5F4496C3" w14:textId="17DB7CC0" w:rsidR="00C67510" w:rsidRPr="00D910F0" w:rsidRDefault="00866AC1" w:rsidP="0012782C">
            <w:r w:rsidRPr="00D910F0">
              <w:t>Temporary impairment</w:t>
            </w:r>
          </w:p>
        </w:tc>
        <w:tc>
          <w:tcPr>
            <w:tcW w:w="2291" w:type="dxa"/>
          </w:tcPr>
          <w:p w14:paraId="6558ACDA" w14:textId="04AFBFE4" w:rsidR="00C67510" w:rsidRPr="00D910F0" w:rsidRDefault="00866AC1" w:rsidP="0012782C">
            <w:pPr>
              <w:jc w:val="right"/>
            </w:pPr>
            <w:r w:rsidRPr="00D910F0">
              <w:t>13</w:t>
            </w:r>
          </w:p>
        </w:tc>
      </w:tr>
      <w:tr w:rsidR="00C67510" w:rsidRPr="00D910F0" w14:paraId="78D4C17E" w14:textId="77777777" w:rsidTr="00C67510">
        <w:tc>
          <w:tcPr>
            <w:tcW w:w="4508" w:type="dxa"/>
          </w:tcPr>
          <w:p w14:paraId="1A6C2262" w14:textId="35955569" w:rsidR="00C67510" w:rsidRPr="00D910F0" w:rsidRDefault="00866AC1" w:rsidP="0012782C">
            <w:r w:rsidRPr="00D910F0">
              <w:t>Specific Learning Disability</w:t>
            </w:r>
          </w:p>
        </w:tc>
        <w:tc>
          <w:tcPr>
            <w:tcW w:w="2291" w:type="dxa"/>
          </w:tcPr>
          <w:p w14:paraId="416FCB3D" w14:textId="5E75061F" w:rsidR="00C67510" w:rsidRPr="00D910F0" w:rsidRDefault="00866AC1" w:rsidP="0012782C">
            <w:pPr>
              <w:jc w:val="right"/>
            </w:pPr>
            <w:r w:rsidRPr="00D910F0">
              <w:t>59</w:t>
            </w:r>
          </w:p>
        </w:tc>
      </w:tr>
      <w:tr w:rsidR="00C67510" w:rsidRPr="00D910F0" w14:paraId="72E57881" w14:textId="77777777" w:rsidTr="00C67510">
        <w:tc>
          <w:tcPr>
            <w:tcW w:w="4508" w:type="dxa"/>
          </w:tcPr>
          <w:p w14:paraId="150FF2EA" w14:textId="6C96C432" w:rsidR="00C67510" w:rsidRPr="00D910F0" w:rsidRDefault="00866AC1" w:rsidP="0012782C">
            <w:r w:rsidRPr="00D910F0">
              <w:t xml:space="preserve">Physical </w:t>
            </w:r>
          </w:p>
        </w:tc>
        <w:tc>
          <w:tcPr>
            <w:tcW w:w="2291" w:type="dxa"/>
          </w:tcPr>
          <w:p w14:paraId="1FE6C377" w14:textId="11FD36F9" w:rsidR="00C67510" w:rsidRPr="00D910F0" w:rsidRDefault="00866AC1" w:rsidP="0012782C">
            <w:pPr>
              <w:jc w:val="right"/>
            </w:pPr>
            <w:r w:rsidRPr="00D910F0">
              <w:t>15</w:t>
            </w:r>
          </w:p>
        </w:tc>
      </w:tr>
      <w:tr w:rsidR="00C67510" w:rsidRPr="00D910F0" w14:paraId="694B151F" w14:textId="77777777" w:rsidTr="00C67510">
        <w:tc>
          <w:tcPr>
            <w:tcW w:w="4508" w:type="dxa"/>
          </w:tcPr>
          <w:p w14:paraId="684CE99E" w14:textId="5963015D" w:rsidR="00C67510" w:rsidRPr="00D910F0" w:rsidRDefault="00866AC1" w:rsidP="0012782C">
            <w:r w:rsidRPr="00D910F0">
              <w:t>Mental/Psychological</w:t>
            </w:r>
          </w:p>
        </w:tc>
        <w:tc>
          <w:tcPr>
            <w:tcW w:w="2291" w:type="dxa"/>
          </w:tcPr>
          <w:p w14:paraId="69AB3CDF" w14:textId="5ECBFE7D" w:rsidR="00C67510" w:rsidRPr="00D910F0" w:rsidRDefault="00866AC1" w:rsidP="0012782C">
            <w:pPr>
              <w:jc w:val="right"/>
            </w:pPr>
            <w:r w:rsidRPr="00D910F0">
              <w:t>107</w:t>
            </w:r>
          </w:p>
        </w:tc>
      </w:tr>
      <w:tr w:rsidR="00C67510" w:rsidRPr="00D910F0" w14:paraId="617ABB6A" w14:textId="77777777" w:rsidTr="00C67510">
        <w:tc>
          <w:tcPr>
            <w:tcW w:w="4508" w:type="dxa"/>
          </w:tcPr>
          <w:p w14:paraId="00762580" w14:textId="23A42E73" w:rsidR="00C67510" w:rsidRPr="00D910F0" w:rsidRDefault="00866AC1" w:rsidP="0012782C">
            <w:r w:rsidRPr="00D910F0">
              <w:t xml:space="preserve">Medical Condition </w:t>
            </w:r>
          </w:p>
        </w:tc>
        <w:tc>
          <w:tcPr>
            <w:tcW w:w="2291" w:type="dxa"/>
          </w:tcPr>
          <w:p w14:paraId="4F894DCE" w14:textId="34408B2D" w:rsidR="00C67510" w:rsidRPr="00D910F0" w:rsidRDefault="00866AC1" w:rsidP="0012782C">
            <w:pPr>
              <w:jc w:val="right"/>
            </w:pPr>
            <w:r w:rsidRPr="00D910F0">
              <w:t>22</w:t>
            </w:r>
          </w:p>
        </w:tc>
      </w:tr>
      <w:tr w:rsidR="00866AC1" w:rsidRPr="00D910F0" w14:paraId="4593DC71" w14:textId="77777777" w:rsidTr="00C67510">
        <w:tc>
          <w:tcPr>
            <w:tcW w:w="4508" w:type="dxa"/>
          </w:tcPr>
          <w:p w14:paraId="038D64D0" w14:textId="1FF88BBB" w:rsidR="00866AC1" w:rsidRPr="00D910F0" w:rsidRDefault="00866AC1" w:rsidP="0012782C">
            <w:r w:rsidRPr="00D910F0">
              <w:t>Intellectual/Cognitive</w:t>
            </w:r>
          </w:p>
        </w:tc>
        <w:tc>
          <w:tcPr>
            <w:tcW w:w="2291" w:type="dxa"/>
          </w:tcPr>
          <w:p w14:paraId="626130A4" w14:textId="2B28104B" w:rsidR="00866AC1" w:rsidRPr="00D910F0" w:rsidRDefault="00866AC1" w:rsidP="0012782C">
            <w:pPr>
              <w:jc w:val="right"/>
            </w:pPr>
            <w:r w:rsidRPr="00D910F0">
              <w:t>9</w:t>
            </w:r>
          </w:p>
        </w:tc>
      </w:tr>
      <w:tr w:rsidR="00866AC1" w:rsidRPr="00D910F0" w14:paraId="5A631F47" w14:textId="77777777" w:rsidTr="00C67510">
        <w:tc>
          <w:tcPr>
            <w:tcW w:w="4508" w:type="dxa"/>
          </w:tcPr>
          <w:p w14:paraId="0F5D140F" w14:textId="57FD2406" w:rsidR="00866AC1" w:rsidRPr="00D910F0" w:rsidRDefault="00866AC1" w:rsidP="0012782C">
            <w:r w:rsidRPr="00D910F0">
              <w:t>Hearing (impaired)</w:t>
            </w:r>
          </w:p>
        </w:tc>
        <w:tc>
          <w:tcPr>
            <w:tcW w:w="2291" w:type="dxa"/>
          </w:tcPr>
          <w:p w14:paraId="00D73043" w14:textId="3B05EA02" w:rsidR="00866AC1" w:rsidRPr="00D910F0" w:rsidRDefault="00866AC1" w:rsidP="0012782C">
            <w:pPr>
              <w:jc w:val="right"/>
            </w:pPr>
            <w:r w:rsidRPr="00D910F0">
              <w:t>5</w:t>
            </w:r>
          </w:p>
        </w:tc>
      </w:tr>
      <w:tr w:rsidR="00866AC1" w:rsidRPr="00D910F0" w14:paraId="30FE16AB" w14:textId="77777777" w:rsidTr="00C67510">
        <w:tc>
          <w:tcPr>
            <w:tcW w:w="4508" w:type="dxa"/>
          </w:tcPr>
          <w:p w14:paraId="270E6D8F" w14:textId="40A75E22" w:rsidR="00866AC1" w:rsidRPr="00D910F0" w:rsidRDefault="00866AC1" w:rsidP="0012782C">
            <w:r w:rsidRPr="00D910F0">
              <w:t>Hearing (Deaf)</w:t>
            </w:r>
          </w:p>
        </w:tc>
        <w:tc>
          <w:tcPr>
            <w:tcW w:w="2291" w:type="dxa"/>
          </w:tcPr>
          <w:p w14:paraId="6F8DE103" w14:textId="6CEF239E" w:rsidR="00866AC1" w:rsidRPr="00D910F0" w:rsidRDefault="00866AC1" w:rsidP="0012782C">
            <w:pPr>
              <w:jc w:val="right"/>
            </w:pPr>
            <w:r w:rsidRPr="00D910F0">
              <w:t>2</w:t>
            </w:r>
          </w:p>
        </w:tc>
      </w:tr>
      <w:tr w:rsidR="00866AC1" w:rsidRPr="00D910F0" w14:paraId="102333CF" w14:textId="77777777" w:rsidTr="00C67510">
        <w:tc>
          <w:tcPr>
            <w:tcW w:w="4508" w:type="dxa"/>
          </w:tcPr>
          <w:p w14:paraId="3903099C" w14:textId="34AFC30D" w:rsidR="00866AC1" w:rsidRPr="00D910F0" w:rsidRDefault="00866AC1" w:rsidP="0012782C">
            <w:r w:rsidRPr="00D910F0">
              <w:t>Autism Spectrum Disorder</w:t>
            </w:r>
          </w:p>
        </w:tc>
        <w:tc>
          <w:tcPr>
            <w:tcW w:w="2291" w:type="dxa"/>
          </w:tcPr>
          <w:p w14:paraId="449480EF" w14:textId="199626F1" w:rsidR="00866AC1" w:rsidRPr="00D910F0" w:rsidRDefault="00866AC1" w:rsidP="0012782C">
            <w:pPr>
              <w:jc w:val="right"/>
            </w:pPr>
            <w:r w:rsidRPr="00D910F0">
              <w:t>21</w:t>
            </w:r>
          </w:p>
        </w:tc>
      </w:tr>
      <w:tr w:rsidR="00866AC1" w:rsidRPr="00D910F0" w14:paraId="54210891" w14:textId="77777777" w:rsidTr="00C67510">
        <w:tc>
          <w:tcPr>
            <w:tcW w:w="4508" w:type="dxa"/>
          </w:tcPr>
          <w:p w14:paraId="620AE4D8" w14:textId="01C00D04" w:rsidR="00866AC1" w:rsidRPr="00D910F0" w:rsidRDefault="00866AC1" w:rsidP="0012782C">
            <w:r w:rsidRPr="00D910F0">
              <w:t>Other/Undeclared</w:t>
            </w:r>
          </w:p>
        </w:tc>
        <w:tc>
          <w:tcPr>
            <w:tcW w:w="2291" w:type="dxa"/>
          </w:tcPr>
          <w:p w14:paraId="56FA1C6B" w14:textId="060F3DBA" w:rsidR="00866AC1" w:rsidRPr="00D910F0" w:rsidRDefault="00866AC1" w:rsidP="0012782C">
            <w:pPr>
              <w:jc w:val="right"/>
            </w:pPr>
            <w:r w:rsidRPr="00D910F0">
              <w:t>15</w:t>
            </w:r>
          </w:p>
        </w:tc>
      </w:tr>
      <w:tr w:rsidR="00866AC1" w:rsidRPr="00D910F0" w14:paraId="144B841A" w14:textId="77777777" w:rsidTr="00C67510">
        <w:tc>
          <w:tcPr>
            <w:tcW w:w="4508" w:type="dxa"/>
          </w:tcPr>
          <w:p w14:paraId="3E88AB60" w14:textId="602D5C42" w:rsidR="00866AC1" w:rsidRPr="00D910F0" w:rsidRDefault="00866AC1" w:rsidP="0012782C">
            <w:pPr>
              <w:rPr>
                <w:b/>
              </w:rPr>
            </w:pPr>
            <w:r w:rsidRPr="00D910F0">
              <w:rPr>
                <w:b/>
              </w:rPr>
              <w:t>Total</w:t>
            </w:r>
          </w:p>
        </w:tc>
        <w:tc>
          <w:tcPr>
            <w:tcW w:w="2291" w:type="dxa"/>
          </w:tcPr>
          <w:p w14:paraId="1C2360F6" w14:textId="58636214" w:rsidR="00866AC1" w:rsidRPr="00D910F0" w:rsidRDefault="00866AC1" w:rsidP="0012782C">
            <w:pPr>
              <w:jc w:val="right"/>
              <w:rPr>
                <w:b/>
              </w:rPr>
            </w:pPr>
            <w:r w:rsidRPr="00D910F0">
              <w:rPr>
                <w:b/>
              </w:rPr>
              <w:t>276</w:t>
            </w:r>
          </w:p>
        </w:tc>
      </w:tr>
    </w:tbl>
    <w:p w14:paraId="41541297" w14:textId="77B68097" w:rsidR="00C67510" w:rsidRPr="00D910F0" w:rsidRDefault="00C67510" w:rsidP="0012782C">
      <w:pPr>
        <w:spacing w:line="240" w:lineRule="auto"/>
      </w:pPr>
    </w:p>
    <w:p w14:paraId="2F700D34" w14:textId="4EBCAC8E" w:rsidR="00866AC1" w:rsidRPr="00D910F0" w:rsidRDefault="00866AC1" w:rsidP="0012782C">
      <w:pPr>
        <w:spacing w:line="240" w:lineRule="auto"/>
      </w:pPr>
      <w:r w:rsidRPr="00D910F0">
        <w:t xml:space="preserve">It is important to note when reading </w:t>
      </w:r>
      <w:r w:rsidR="00C21708" w:rsidRPr="00D910F0">
        <w:t>th</w:t>
      </w:r>
      <w:r w:rsidR="00C21708">
        <w:t>ese</w:t>
      </w:r>
      <w:r w:rsidR="00C21708" w:rsidRPr="00D910F0">
        <w:t xml:space="preserve"> </w:t>
      </w:r>
      <w:r w:rsidRPr="00D910F0">
        <w:t>data that disability type or experience is self-reported. While some supporting documentation from a doctor, therapist or other health professional is a requirement of registering with Accessibility Services this information is not verified by the service and no further assessments are undertaken by the University regarding a student’s declared disability. Further, as for other data reported by Accessibility Services some students may report one or multiple disability types/experiences</w:t>
      </w:r>
      <w:r w:rsidR="00046DD6" w:rsidRPr="00D910F0">
        <w:t xml:space="preserve"> or none. </w:t>
      </w:r>
    </w:p>
    <w:p w14:paraId="1C4A82C9" w14:textId="7A70DA48" w:rsidR="00046DD6" w:rsidRPr="00D910F0" w:rsidRDefault="00046DD6" w:rsidP="0012782C">
      <w:pPr>
        <w:spacing w:line="240" w:lineRule="auto"/>
      </w:pPr>
      <w:r w:rsidRPr="00D910F0">
        <w:t>A very clear indication from this data is that Mental/Psychological experiences of disability are by far the highest at 107 (38.8% of reported disability types) with Specific Learning Disability being the next most reported disability at 59 (21.4% of reported disability types). While in this DAP there is a significant focus on access to the built environment, th</w:t>
      </w:r>
      <w:r w:rsidR="0062115A" w:rsidRPr="00D910F0">
        <w:t>ese</w:t>
      </w:r>
      <w:r w:rsidRPr="00D910F0">
        <w:t xml:space="preserve"> data strongly suggest </w:t>
      </w:r>
      <w:bookmarkStart w:id="9" w:name="_Hlk120875714"/>
      <w:r w:rsidRPr="00D910F0">
        <w:t xml:space="preserve">there </w:t>
      </w:r>
      <w:r w:rsidR="00C21708">
        <w:t xml:space="preserve">also </w:t>
      </w:r>
      <w:r w:rsidRPr="00D910F0">
        <w:t xml:space="preserve">needs to be a concerted effort to understand the barriers experienced by students with mental health and psychological disabling conditions, and neurological and cognitive conditions. </w:t>
      </w:r>
      <w:bookmarkEnd w:id="9"/>
      <w:r w:rsidR="00B3479F">
        <w:t>Taken</w:t>
      </w:r>
      <w:r w:rsidR="00B3479F" w:rsidRPr="00D910F0">
        <w:t xml:space="preserve"> </w:t>
      </w:r>
      <w:r w:rsidRPr="00D910F0">
        <w:t xml:space="preserve">together this group of conditions account for 71.1% of students for whom the University physical, social and learning environment </w:t>
      </w:r>
      <w:r w:rsidR="00B3479F">
        <w:t>has the potential to be</w:t>
      </w:r>
      <w:r w:rsidR="00B3479F" w:rsidRPr="00D910F0">
        <w:t xml:space="preserve"> </w:t>
      </w:r>
      <w:r w:rsidRPr="00D910F0">
        <w:t>disabling.</w:t>
      </w:r>
    </w:p>
    <w:p w14:paraId="3DDEB1E4" w14:textId="3405AA14" w:rsidR="00E168C2" w:rsidRPr="00D910F0" w:rsidRDefault="00EC20A2" w:rsidP="0012782C">
      <w:pPr>
        <w:spacing w:line="240" w:lineRule="auto"/>
      </w:pPr>
      <w:r w:rsidRPr="00D910F0">
        <w:t>The overall data across 2021 and 2022 suggests a reasonably static number of students registering with Accessibility Services</w:t>
      </w:r>
      <w:r w:rsidR="00D910F0" w:rsidRPr="00D910F0">
        <w:t xml:space="preserve">. As noted above, the proportion of students reporting a disability who register for the University’s Accessibility Service is relatively low </w:t>
      </w:r>
      <w:r w:rsidR="00E168C2" w:rsidRPr="00D910F0">
        <w:t>and the difference between these figures could be illustrative of what kinds of generic or Universal approaches the University needs to invest in</w:t>
      </w:r>
      <w:r w:rsidRPr="00D910F0">
        <w:t xml:space="preserve"> </w:t>
      </w:r>
      <w:r w:rsidR="00E168C2" w:rsidRPr="00D910F0">
        <w:t>to ensure ALL disabled students have access to equal opportunities to participate in all aspects of University life.</w:t>
      </w:r>
    </w:p>
    <w:p w14:paraId="13FBEB53" w14:textId="36E99C82" w:rsidR="00157D5C" w:rsidRPr="00F658E7" w:rsidRDefault="00157D5C" w:rsidP="0012782C">
      <w:pPr>
        <w:pStyle w:val="Heading2"/>
        <w:spacing w:line="240" w:lineRule="auto"/>
        <w:rPr>
          <w:color w:val="auto"/>
          <w:shd w:val="clear" w:color="auto" w:fill="FFFFFF"/>
        </w:rPr>
      </w:pPr>
      <w:bookmarkStart w:id="10" w:name="_Toc120609556"/>
      <w:r w:rsidRPr="00F658E7">
        <w:rPr>
          <w:color w:val="auto"/>
          <w:shd w:val="clear" w:color="auto" w:fill="FFFFFF"/>
        </w:rPr>
        <w:t>1.</w:t>
      </w:r>
      <w:r w:rsidR="00EE345D" w:rsidRPr="00F658E7">
        <w:rPr>
          <w:color w:val="auto"/>
          <w:shd w:val="clear" w:color="auto" w:fill="FFFFFF"/>
        </w:rPr>
        <w:t>2</w:t>
      </w:r>
      <w:r w:rsidRPr="00F658E7">
        <w:rPr>
          <w:color w:val="auto"/>
          <w:shd w:val="clear" w:color="auto" w:fill="FFFFFF"/>
        </w:rPr>
        <w:t xml:space="preserve"> Developing </w:t>
      </w:r>
      <w:r w:rsidR="00E14D36" w:rsidRPr="00F658E7">
        <w:rPr>
          <w:color w:val="auto"/>
          <w:shd w:val="clear" w:color="auto" w:fill="FFFFFF"/>
        </w:rPr>
        <w:t>the University’s</w:t>
      </w:r>
      <w:r w:rsidRPr="00F658E7">
        <w:rPr>
          <w:color w:val="auto"/>
          <w:shd w:val="clear" w:color="auto" w:fill="FFFFFF"/>
        </w:rPr>
        <w:t xml:space="preserve"> first D</w:t>
      </w:r>
      <w:r w:rsidR="00430EF7" w:rsidRPr="00F658E7">
        <w:rPr>
          <w:color w:val="auto"/>
          <w:shd w:val="clear" w:color="auto" w:fill="FFFFFF"/>
        </w:rPr>
        <w:t>AP</w:t>
      </w:r>
      <w:bookmarkEnd w:id="10"/>
    </w:p>
    <w:p w14:paraId="0BDB52B2" w14:textId="1A748D56" w:rsidR="00E14D36" w:rsidRPr="00F658E7" w:rsidRDefault="00EC5DF9" w:rsidP="0012782C">
      <w:pPr>
        <w:pStyle w:val="Default"/>
        <w:rPr>
          <w:rFonts w:ascii="Calibri" w:hAnsi="Calibri" w:cs="Calibri"/>
          <w:color w:val="auto"/>
          <w:sz w:val="22"/>
          <w:szCs w:val="22"/>
        </w:rPr>
      </w:pPr>
      <w:bookmarkStart w:id="11" w:name="_Hlk119917354"/>
      <w:r w:rsidRPr="00F658E7">
        <w:rPr>
          <w:rFonts w:ascii="Calibri" w:hAnsi="Calibri" w:cs="Calibri"/>
          <w:color w:val="auto"/>
          <w:sz w:val="22"/>
          <w:szCs w:val="22"/>
          <w:shd w:val="clear" w:color="auto" w:fill="FFFFFF"/>
        </w:rPr>
        <w:t>Creating a</w:t>
      </w:r>
      <w:r w:rsidR="00804BDD" w:rsidRPr="00F658E7">
        <w:rPr>
          <w:rFonts w:ascii="Calibri" w:hAnsi="Calibri" w:cs="Calibri"/>
          <w:color w:val="auto"/>
          <w:sz w:val="22"/>
          <w:szCs w:val="22"/>
          <w:shd w:val="clear" w:color="auto" w:fill="FFFFFF"/>
        </w:rPr>
        <w:t xml:space="preserve"> </w:t>
      </w:r>
      <w:r w:rsidR="00C75030" w:rsidRPr="00F658E7">
        <w:rPr>
          <w:rFonts w:ascii="Calibri" w:hAnsi="Calibri" w:cs="Calibri"/>
          <w:color w:val="auto"/>
          <w:sz w:val="22"/>
          <w:szCs w:val="22"/>
          <w:shd w:val="clear" w:color="auto" w:fill="FFFFFF"/>
        </w:rPr>
        <w:t xml:space="preserve">DAP </w:t>
      </w:r>
      <w:r w:rsidR="00804BDD" w:rsidRPr="00F658E7">
        <w:rPr>
          <w:rFonts w:ascii="Calibri" w:hAnsi="Calibri" w:cs="Calibri"/>
          <w:color w:val="auto"/>
          <w:sz w:val="22"/>
          <w:szCs w:val="22"/>
          <w:shd w:val="clear" w:color="auto" w:fill="FFFFFF"/>
        </w:rPr>
        <w:t xml:space="preserve">has provided </w:t>
      </w:r>
      <w:proofErr w:type="spellStart"/>
      <w:r w:rsidR="00AF68D9" w:rsidRPr="00F658E7">
        <w:rPr>
          <w:rFonts w:ascii="Calibri" w:hAnsi="Calibri" w:cs="Calibri"/>
          <w:color w:val="auto"/>
          <w:sz w:val="22"/>
          <w:szCs w:val="22"/>
        </w:rPr>
        <w:t>Te</w:t>
      </w:r>
      <w:proofErr w:type="spellEnd"/>
      <w:r w:rsidR="00AF68D9" w:rsidRPr="00F658E7">
        <w:rPr>
          <w:rFonts w:ascii="Calibri" w:hAnsi="Calibri" w:cs="Calibri"/>
          <w:color w:val="auto"/>
          <w:sz w:val="22"/>
          <w:szCs w:val="22"/>
        </w:rPr>
        <w:t xml:space="preserve"> </w:t>
      </w:r>
      <w:proofErr w:type="spellStart"/>
      <w:r w:rsidR="00AF68D9" w:rsidRPr="00F658E7">
        <w:rPr>
          <w:rFonts w:ascii="Calibri" w:hAnsi="Calibri" w:cs="Calibri"/>
          <w:color w:val="auto"/>
          <w:sz w:val="22"/>
          <w:szCs w:val="22"/>
        </w:rPr>
        <w:t>Whare</w:t>
      </w:r>
      <w:proofErr w:type="spellEnd"/>
      <w:r w:rsidR="00AF68D9" w:rsidRPr="00F658E7">
        <w:rPr>
          <w:rFonts w:ascii="Calibri" w:hAnsi="Calibri" w:cs="Calibri"/>
          <w:color w:val="auto"/>
          <w:sz w:val="22"/>
          <w:szCs w:val="22"/>
        </w:rPr>
        <w:t xml:space="preserve"> </w:t>
      </w:r>
      <w:r w:rsidR="00E94A93">
        <w:rPr>
          <w:rFonts w:ascii="Calibri" w:hAnsi="Calibri" w:cs="Calibri"/>
          <w:color w:val="auto"/>
          <w:sz w:val="22"/>
          <w:szCs w:val="22"/>
        </w:rPr>
        <w:t xml:space="preserve">Wānanga </w:t>
      </w:r>
      <w:r w:rsidR="00AF68D9" w:rsidRPr="00F658E7">
        <w:rPr>
          <w:rFonts w:ascii="Calibri" w:hAnsi="Calibri" w:cs="Calibri"/>
          <w:color w:val="auto"/>
          <w:sz w:val="22"/>
          <w:szCs w:val="22"/>
        </w:rPr>
        <w:t xml:space="preserve">o Waikato </w:t>
      </w:r>
      <w:r w:rsidR="00804BDD" w:rsidRPr="00F658E7">
        <w:rPr>
          <w:rFonts w:ascii="Calibri" w:hAnsi="Calibri" w:cs="Calibri"/>
          <w:color w:val="auto"/>
          <w:sz w:val="22"/>
          <w:szCs w:val="22"/>
          <w:shd w:val="clear" w:color="auto" w:fill="FFFFFF"/>
        </w:rPr>
        <w:t xml:space="preserve">with </w:t>
      </w:r>
      <w:r w:rsidR="00902959" w:rsidRPr="00F658E7">
        <w:rPr>
          <w:rFonts w:ascii="Calibri" w:hAnsi="Calibri" w:cs="Calibri"/>
          <w:color w:val="auto"/>
          <w:sz w:val="22"/>
          <w:szCs w:val="22"/>
          <w:shd w:val="clear" w:color="auto" w:fill="FFFFFF"/>
        </w:rPr>
        <w:t xml:space="preserve">an </w:t>
      </w:r>
      <w:r w:rsidR="00804BDD" w:rsidRPr="00F658E7">
        <w:rPr>
          <w:rFonts w:ascii="Calibri" w:hAnsi="Calibri" w:cs="Calibri"/>
          <w:color w:val="auto"/>
          <w:sz w:val="22"/>
          <w:szCs w:val="22"/>
          <w:shd w:val="clear" w:color="auto" w:fill="FFFFFF"/>
        </w:rPr>
        <w:t xml:space="preserve">opportunity to </w:t>
      </w:r>
      <w:r w:rsidRPr="00F658E7">
        <w:rPr>
          <w:rFonts w:ascii="Calibri" w:hAnsi="Calibri" w:cs="Calibri"/>
          <w:color w:val="auto"/>
          <w:sz w:val="22"/>
          <w:szCs w:val="22"/>
          <w:shd w:val="clear" w:color="auto" w:fill="FFFFFF"/>
        </w:rPr>
        <w:t>further</w:t>
      </w:r>
      <w:r w:rsidR="00804BDD" w:rsidRPr="00F658E7">
        <w:rPr>
          <w:rFonts w:ascii="Calibri" w:hAnsi="Calibri" w:cs="Calibri"/>
          <w:color w:val="auto"/>
          <w:sz w:val="22"/>
          <w:szCs w:val="22"/>
          <w:shd w:val="clear" w:color="auto" w:fill="FFFFFF"/>
        </w:rPr>
        <w:t xml:space="preserve"> </w:t>
      </w:r>
      <w:r w:rsidR="00902959" w:rsidRPr="00F658E7">
        <w:rPr>
          <w:rFonts w:ascii="Calibri" w:hAnsi="Calibri" w:cs="Calibri"/>
          <w:color w:val="auto"/>
          <w:sz w:val="22"/>
          <w:szCs w:val="22"/>
          <w:shd w:val="clear" w:color="auto" w:fill="FFFFFF"/>
        </w:rPr>
        <w:t>our</w:t>
      </w:r>
      <w:r w:rsidR="00804BDD" w:rsidRPr="00F658E7">
        <w:rPr>
          <w:rFonts w:ascii="Calibri" w:hAnsi="Calibri" w:cs="Calibri"/>
          <w:color w:val="auto"/>
          <w:sz w:val="22"/>
          <w:szCs w:val="22"/>
          <w:shd w:val="clear" w:color="auto" w:fill="FFFFFF"/>
        </w:rPr>
        <w:t xml:space="preserve"> efforts to make </w:t>
      </w:r>
      <w:r w:rsidR="00AF68D9" w:rsidRPr="00F658E7">
        <w:rPr>
          <w:rFonts w:ascii="Calibri" w:hAnsi="Calibri" w:cs="Calibri"/>
          <w:color w:val="auto"/>
          <w:sz w:val="22"/>
          <w:szCs w:val="22"/>
        </w:rPr>
        <w:t>the University a</w:t>
      </w:r>
      <w:r w:rsidR="00902959" w:rsidRPr="00F658E7">
        <w:rPr>
          <w:rFonts w:ascii="Calibri" w:hAnsi="Calibri" w:cs="Calibri"/>
          <w:color w:val="auto"/>
          <w:sz w:val="22"/>
          <w:szCs w:val="22"/>
        </w:rPr>
        <w:t xml:space="preserve"> </w:t>
      </w:r>
      <w:r w:rsidR="00804BDD" w:rsidRPr="00F658E7">
        <w:rPr>
          <w:rFonts w:ascii="Calibri" w:hAnsi="Calibri" w:cs="Calibri"/>
          <w:color w:val="auto"/>
          <w:sz w:val="22"/>
          <w:szCs w:val="22"/>
          <w:shd w:val="clear" w:color="auto" w:fill="FFFFFF"/>
        </w:rPr>
        <w:t xml:space="preserve">more inclusive and </w:t>
      </w:r>
      <w:r w:rsidR="00902959" w:rsidRPr="00F658E7">
        <w:rPr>
          <w:rFonts w:ascii="Calibri" w:hAnsi="Calibri" w:cs="Calibri"/>
          <w:color w:val="auto"/>
          <w:sz w:val="22"/>
          <w:szCs w:val="22"/>
          <w:shd w:val="clear" w:color="auto" w:fill="FFFFFF"/>
        </w:rPr>
        <w:t>equitable</w:t>
      </w:r>
      <w:r w:rsidR="00804BDD" w:rsidRPr="00F658E7">
        <w:rPr>
          <w:rFonts w:ascii="Calibri" w:hAnsi="Calibri" w:cs="Calibri"/>
          <w:color w:val="auto"/>
          <w:sz w:val="22"/>
          <w:szCs w:val="22"/>
          <w:shd w:val="clear" w:color="auto" w:fill="FFFFFF"/>
        </w:rPr>
        <w:t xml:space="preserve"> </w:t>
      </w:r>
      <w:r w:rsidR="00902959" w:rsidRPr="00F658E7">
        <w:rPr>
          <w:rFonts w:ascii="Calibri" w:hAnsi="Calibri" w:cs="Calibri"/>
          <w:color w:val="auto"/>
          <w:sz w:val="22"/>
          <w:szCs w:val="22"/>
          <w:shd w:val="clear" w:color="auto" w:fill="FFFFFF"/>
        </w:rPr>
        <w:t xml:space="preserve">organisation. </w:t>
      </w:r>
      <w:r w:rsidRPr="00F658E7">
        <w:rPr>
          <w:rFonts w:ascii="Calibri" w:hAnsi="Calibri" w:cs="Calibri"/>
          <w:color w:val="auto"/>
          <w:sz w:val="22"/>
          <w:szCs w:val="22"/>
          <w:shd w:val="clear" w:color="auto" w:fill="FFFFFF"/>
        </w:rPr>
        <w:t xml:space="preserve">The DAP aligns with our University Strategy 2022-2024, Academic Plan 2022-2026, </w:t>
      </w:r>
      <w:proofErr w:type="spellStart"/>
      <w:r w:rsidRPr="00F658E7">
        <w:rPr>
          <w:rFonts w:ascii="Calibri" w:hAnsi="Calibri" w:cs="Calibri"/>
          <w:color w:val="auto"/>
          <w:sz w:val="22"/>
          <w:szCs w:val="22"/>
        </w:rPr>
        <w:t>Te</w:t>
      </w:r>
      <w:proofErr w:type="spellEnd"/>
      <w:r w:rsidRPr="00F658E7">
        <w:rPr>
          <w:rFonts w:ascii="Calibri" w:hAnsi="Calibri" w:cs="Calibri"/>
          <w:color w:val="auto"/>
          <w:sz w:val="22"/>
          <w:szCs w:val="22"/>
        </w:rPr>
        <w:t xml:space="preserve"> </w:t>
      </w:r>
      <w:proofErr w:type="spellStart"/>
      <w:r w:rsidRPr="00F658E7">
        <w:rPr>
          <w:rFonts w:ascii="Calibri" w:hAnsi="Calibri" w:cs="Calibri"/>
          <w:color w:val="auto"/>
          <w:sz w:val="22"/>
          <w:szCs w:val="22"/>
        </w:rPr>
        <w:t>Rautaki</w:t>
      </w:r>
      <w:proofErr w:type="spellEnd"/>
      <w:r w:rsidRPr="00F658E7">
        <w:rPr>
          <w:rFonts w:ascii="Calibri" w:hAnsi="Calibri" w:cs="Calibri"/>
          <w:color w:val="auto"/>
          <w:sz w:val="22"/>
          <w:szCs w:val="22"/>
        </w:rPr>
        <w:t xml:space="preserve"> </w:t>
      </w:r>
      <w:bookmarkStart w:id="12" w:name="_Hlk119923039"/>
      <w:r w:rsidRPr="00F658E7">
        <w:rPr>
          <w:rFonts w:ascii="Calibri" w:hAnsi="Calibri" w:cs="Calibri"/>
          <w:color w:val="auto"/>
          <w:sz w:val="22"/>
          <w:szCs w:val="22"/>
        </w:rPr>
        <w:t>Māori - Māori Advancement Plan 2022-2026,</w:t>
      </w:r>
      <w:r w:rsidRPr="00F658E7">
        <w:rPr>
          <w:rFonts w:ascii="Calibri" w:hAnsi="Calibri" w:cs="Calibri"/>
          <w:color w:val="auto"/>
          <w:sz w:val="22"/>
          <w:szCs w:val="22"/>
          <w:shd w:val="clear" w:color="auto" w:fill="FFFFFF"/>
        </w:rPr>
        <w:t xml:space="preserve"> Pacific Strategic Plan 202</w:t>
      </w:r>
      <w:r w:rsidR="007D6DF7" w:rsidRPr="00F658E7">
        <w:rPr>
          <w:rFonts w:ascii="Calibri" w:hAnsi="Calibri" w:cs="Calibri"/>
          <w:color w:val="auto"/>
          <w:sz w:val="22"/>
          <w:szCs w:val="22"/>
          <w:shd w:val="clear" w:color="auto" w:fill="FFFFFF"/>
        </w:rPr>
        <w:t>1</w:t>
      </w:r>
      <w:r w:rsidRPr="00F658E7">
        <w:rPr>
          <w:rFonts w:ascii="Calibri" w:hAnsi="Calibri" w:cs="Calibri"/>
          <w:color w:val="auto"/>
          <w:sz w:val="22"/>
          <w:szCs w:val="22"/>
          <w:shd w:val="clear" w:color="auto" w:fill="FFFFFF"/>
        </w:rPr>
        <w:t>-202</w:t>
      </w:r>
      <w:r w:rsidR="007D6DF7" w:rsidRPr="00F658E7">
        <w:rPr>
          <w:rFonts w:ascii="Calibri" w:hAnsi="Calibri" w:cs="Calibri"/>
          <w:color w:val="auto"/>
          <w:sz w:val="22"/>
          <w:szCs w:val="22"/>
          <w:shd w:val="clear" w:color="auto" w:fill="FFFFFF"/>
        </w:rPr>
        <w:t>5</w:t>
      </w:r>
      <w:r w:rsidRPr="00F658E7">
        <w:rPr>
          <w:rFonts w:ascii="Calibri" w:hAnsi="Calibri" w:cs="Calibri"/>
          <w:color w:val="auto"/>
          <w:sz w:val="22"/>
          <w:szCs w:val="22"/>
          <w:shd w:val="clear" w:color="auto" w:fill="FFFFFF"/>
        </w:rPr>
        <w:t>, Research Plan 202</w:t>
      </w:r>
      <w:r w:rsidR="007D6DF7" w:rsidRPr="00F658E7">
        <w:rPr>
          <w:rFonts w:ascii="Calibri" w:hAnsi="Calibri" w:cs="Calibri"/>
          <w:color w:val="auto"/>
          <w:sz w:val="22"/>
          <w:szCs w:val="22"/>
          <w:shd w:val="clear" w:color="auto" w:fill="FFFFFF"/>
        </w:rPr>
        <w:t>2</w:t>
      </w:r>
      <w:r w:rsidRPr="00F658E7">
        <w:rPr>
          <w:rFonts w:ascii="Calibri" w:hAnsi="Calibri" w:cs="Calibri"/>
          <w:color w:val="auto"/>
          <w:sz w:val="22"/>
          <w:szCs w:val="22"/>
          <w:shd w:val="clear" w:color="auto" w:fill="FFFFFF"/>
        </w:rPr>
        <w:t>-202</w:t>
      </w:r>
      <w:r w:rsidR="007D6DF7" w:rsidRPr="00F658E7">
        <w:rPr>
          <w:rFonts w:ascii="Calibri" w:hAnsi="Calibri" w:cs="Calibri"/>
          <w:color w:val="auto"/>
          <w:sz w:val="22"/>
          <w:szCs w:val="22"/>
          <w:shd w:val="clear" w:color="auto" w:fill="FFFFFF"/>
        </w:rPr>
        <w:t>6</w:t>
      </w:r>
      <w:r w:rsidR="00C93F9F" w:rsidRPr="00F658E7">
        <w:rPr>
          <w:rFonts w:ascii="Calibri" w:hAnsi="Calibri" w:cs="Calibri"/>
          <w:color w:val="auto"/>
          <w:sz w:val="22"/>
          <w:szCs w:val="22"/>
          <w:shd w:val="clear" w:color="auto" w:fill="FFFFFF"/>
        </w:rPr>
        <w:t xml:space="preserve"> </w:t>
      </w:r>
      <w:r w:rsidR="004B0219" w:rsidRPr="00F658E7">
        <w:rPr>
          <w:rFonts w:ascii="Calibri" w:hAnsi="Calibri" w:cs="Calibri"/>
          <w:color w:val="auto"/>
          <w:sz w:val="22"/>
          <w:szCs w:val="22"/>
          <w:shd w:val="clear" w:color="auto" w:fill="FFFFFF"/>
        </w:rPr>
        <w:t xml:space="preserve">and the </w:t>
      </w:r>
      <w:r w:rsidR="007D6DF7" w:rsidRPr="00F658E7">
        <w:rPr>
          <w:rFonts w:ascii="Calibri" w:hAnsi="Calibri" w:cs="Calibri"/>
          <w:color w:val="auto"/>
          <w:sz w:val="22"/>
          <w:szCs w:val="22"/>
          <w:shd w:val="clear" w:color="auto" w:fill="FFFFFF"/>
        </w:rPr>
        <w:t xml:space="preserve">Report </w:t>
      </w:r>
      <w:r w:rsidR="00C93F9F" w:rsidRPr="00F658E7">
        <w:rPr>
          <w:rFonts w:ascii="Calibri" w:hAnsi="Calibri" w:cs="Calibri"/>
          <w:color w:val="auto"/>
          <w:sz w:val="22"/>
          <w:szCs w:val="22"/>
          <w:shd w:val="clear" w:color="auto" w:fill="FFFFFF"/>
        </w:rPr>
        <w:t xml:space="preserve">of the </w:t>
      </w:r>
      <w:r w:rsidR="004B0219" w:rsidRPr="00F658E7">
        <w:rPr>
          <w:rFonts w:ascii="Calibri" w:hAnsi="Calibri" w:cs="Calibri"/>
          <w:color w:val="auto"/>
          <w:sz w:val="22"/>
          <w:szCs w:val="22"/>
          <w:shd w:val="clear" w:color="auto" w:fill="FFFFFF"/>
        </w:rPr>
        <w:t>Taskforce on Racism</w:t>
      </w:r>
      <w:r w:rsidR="007D6DF7" w:rsidRPr="00F658E7">
        <w:rPr>
          <w:rFonts w:ascii="Calibri" w:hAnsi="Calibri" w:cs="Calibri"/>
          <w:color w:val="auto"/>
          <w:sz w:val="22"/>
          <w:szCs w:val="22"/>
          <w:shd w:val="clear" w:color="auto" w:fill="FFFFFF"/>
        </w:rPr>
        <w:t xml:space="preserve"> 2021</w:t>
      </w:r>
      <w:r w:rsidRPr="00F658E7">
        <w:rPr>
          <w:rFonts w:ascii="Calibri" w:hAnsi="Calibri" w:cs="Calibri"/>
          <w:color w:val="auto"/>
          <w:sz w:val="22"/>
          <w:szCs w:val="22"/>
          <w:shd w:val="clear" w:color="auto" w:fill="FFFFFF"/>
        </w:rPr>
        <w:t xml:space="preserve">. </w:t>
      </w:r>
      <w:bookmarkEnd w:id="12"/>
      <w:r w:rsidRPr="00F658E7">
        <w:rPr>
          <w:rFonts w:ascii="Calibri" w:hAnsi="Calibri" w:cs="Calibri"/>
          <w:color w:val="auto"/>
          <w:sz w:val="22"/>
          <w:szCs w:val="22"/>
          <w:shd w:val="clear" w:color="auto" w:fill="FFFFFF"/>
        </w:rPr>
        <w:t>These plans, individually and collectively</w:t>
      </w:r>
      <w:r w:rsidR="0062115A" w:rsidRPr="00F658E7">
        <w:rPr>
          <w:rFonts w:ascii="Calibri" w:hAnsi="Calibri" w:cs="Calibri"/>
          <w:color w:val="auto"/>
          <w:sz w:val="22"/>
          <w:szCs w:val="22"/>
          <w:shd w:val="clear" w:color="auto" w:fill="FFFFFF"/>
        </w:rPr>
        <w:t>,</w:t>
      </w:r>
      <w:r w:rsidRPr="00F658E7">
        <w:rPr>
          <w:rFonts w:ascii="Calibri" w:hAnsi="Calibri" w:cs="Calibri"/>
          <w:color w:val="auto"/>
          <w:sz w:val="22"/>
          <w:szCs w:val="22"/>
          <w:shd w:val="clear" w:color="auto" w:fill="FFFFFF"/>
        </w:rPr>
        <w:t xml:space="preserve"> </w:t>
      </w:r>
      <w:r w:rsidR="00E93138" w:rsidRPr="00F658E7">
        <w:rPr>
          <w:rFonts w:ascii="Calibri" w:hAnsi="Calibri" w:cs="Calibri"/>
          <w:color w:val="auto"/>
          <w:sz w:val="22"/>
          <w:szCs w:val="22"/>
          <w:shd w:val="clear" w:color="auto" w:fill="FFFFFF"/>
        </w:rPr>
        <w:t>require</w:t>
      </w:r>
      <w:r w:rsidRPr="00F658E7">
        <w:rPr>
          <w:rFonts w:ascii="Calibri" w:hAnsi="Calibri" w:cs="Calibri"/>
          <w:color w:val="auto"/>
          <w:sz w:val="22"/>
          <w:szCs w:val="22"/>
          <w:shd w:val="clear" w:color="auto" w:fill="FFFFFF"/>
        </w:rPr>
        <w:t xml:space="preserve"> </w:t>
      </w:r>
      <w:r w:rsidRPr="00F658E7">
        <w:rPr>
          <w:rFonts w:ascii="Calibri" w:hAnsi="Calibri" w:cs="Calibri"/>
          <w:color w:val="auto"/>
          <w:sz w:val="22"/>
          <w:szCs w:val="22"/>
        </w:rPr>
        <w:t>us to understand and respond to persisting barriers to access and inclusion for a diverse range of students</w:t>
      </w:r>
      <w:r w:rsidR="00C41782" w:rsidRPr="00F658E7">
        <w:rPr>
          <w:rFonts w:ascii="Calibri" w:hAnsi="Calibri" w:cs="Calibri"/>
          <w:color w:val="auto"/>
          <w:sz w:val="22"/>
          <w:szCs w:val="22"/>
        </w:rPr>
        <w:t>.</w:t>
      </w:r>
      <w:r w:rsidRPr="00F658E7">
        <w:rPr>
          <w:rFonts w:ascii="Calibri" w:hAnsi="Calibri" w:cs="Calibri"/>
          <w:color w:val="auto"/>
          <w:sz w:val="22"/>
          <w:szCs w:val="22"/>
        </w:rPr>
        <w:t xml:space="preserve"> </w:t>
      </w:r>
      <w:r w:rsidR="00E14D36" w:rsidRPr="00F658E7">
        <w:rPr>
          <w:rFonts w:ascii="Calibri" w:hAnsi="Calibri" w:cs="Calibri"/>
          <w:color w:val="auto"/>
          <w:sz w:val="22"/>
          <w:szCs w:val="22"/>
        </w:rPr>
        <w:t>T</w:t>
      </w:r>
      <w:r w:rsidR="007D6DF7" w:rsidRPr="00F658E7">
        <w:rPr>
          <w:rFonts w:ascii="Calibri" w:hAnsi="Calibri" w:cs="Calibri"/>
          <w:color w:val="auto"/>
          <w:sz w:val="22"/>
          <w:szCs w:val="22"/>
        </w:rPr>
        <w:t>here</w:t>
      </w:r>
      <w:r w:rsidR="00E14D36" w:rsidRPr="00F658E7">
        <w:rPr>
          <w:rFonts w:ascii="Calibri" w:hAnsi="Calibri" w:cs="Calibri"/>
          <w:color w:val="auto"/>
          <w:sz w:val="22"/>
          <w:szCs w:val="22"/>
        </w:rPr>
        <w:t xml:space="preserve"> is an especially close link with Objective 2 of the Academic Plan </w:t>
      </w:r>
      <w:r w:rsidR="00E93138" w:rsidRPr="00F658E7">
        <w:rPr>
          <w:rFonts w:ascii="Calibri" w:hAnsi="Calibri" w:cs="Calibri"/>
          <w:color w:val="auto"/>
          <w:sz w:val="22"/>
          <w:szCs w:val="22"/>
        </w:rPr>
        <w:t xml:space="preserve">(2022-2026) </w:t>
      </w:r>
      <w:r w:rsidR="00E14D36" w:rsidRPr="00F658E7">
        <w:rPr>
          <w:rFonts w:ascii="Calibri" w:hAnsi="Calibri" w:cs="Calibri"/>
          <w:color w:val="auto"/>
          <w:sz w:val="22"/>
          <w:szCs w:val="22"/>
        </w:rPr>
        <w:t xml:space="preserve">which is to ‘Make the University a more inclusive teaching and learning environment for all’. </w:t>
      </w:r>
    </w:p>
    <w:bookmarkEnd w:id="11"/>
    <w:p w14:paraId="30758FA7" w14:textId="77777777" w:rsidR="00EC5DF9" w:rsidRPr="00F658E7" w:rsidRDefault="00EC5DF9" w:rsidP="0012782C">
      <w:pPr>
        <w:pStyle w:val="Default"/>
        <w:rPr>
          <w:rFonts w:ascii="Calibri" w:hAnsi="Calibri" w:cs="Calibri"/>
          <w:color w:val="auto"/>
          <w:sz w:val="22"/>
          <w:szCs w:val="22"/>
        </w:rPr>
      </w:pPr>
    </w:p>
    <w:p w14:paraId="2914CF3D" w14:textId="33278BDF" w:rsidR="00131248" w:rsidRPr="00665B84" w:rsidRDefault="00804BDD" w:rsidP="0012782C">
      <w:pPr>
        <w:spacing w:after="0" w:line="240" w:lineRule="auto"/>
        <w:rPr>
          <w:rFonts w:ascii="Calibri" w:hAnsi="Calibri" w:cs="Calibri"/>
        </w:rPr>
      </w:pPr>
      <w:r w:rsidRPr="00F658E7">
        <w:rPr>
          <w:rFonts w:ascii="Calibri" w:hAnsi="Calibri" w:cs="Calibri"/>
          <w:shd w:val="clear" w:color="auto" w:fill="FFFFFF"/>
        </w:rPr>
        <w:t xml:space="preserve">The DAP was created </w:t>
      </w:r>
      <w:r w:rsidR="001F2A2F" w:rsidRPr="00F658E7">
        <w:rPr>
          <w:rFonts w:ascii="Calibri" w:hAnsi="Calibri" w:cs="Calibri"/>
          <w:shd w:val="clear" w:color="auto" w:fill="FFFFFF"/>
        </w:rPr>
        <w:t>both</w:t>
      </w:r>
      <w:r w:rsidR="007A72C9" w:rsidRPr="00F658E7">
        <w:rPr>
          <w:rFonts w:ascii="Calibri" w:hAnsi="Calibri" w:cs="Calibri"/>
          <w:shd w:val="clear" w:color="auto" w:fill="FFFFFF"/>
        </w:rPr>
        <w:t xml:space="preserve"> from</w:t>
      </w:r>
      <w:r w:rsidRPr="00F658E7">
        <w:rPr>
          <w:rFonts w:ascii="Calibri" w:hAnsi="Calibri" w:cs="Calibri"/>
          <w:shd w:val="clear" w:color="auto" w:fill="FFFFFF"/>
        </w:rPr>
        <w:t xml:space="preserve"> ‘the ground up’ </w:t>
      </w:r>
      <w:r w:rsidR="001F2A2F" w:rsidRPr="00F658E7">
        <w:rPr>
          <w:rFonts w:ascii="Calibri" w:hAnsi="Calibri" w:cs="Calibri"/>
          <w:shd w:val="clear" w:color="auto" w:fill="FFFFFF"/>
        </w:rPr>
        <w:t xml:space="preserve">and </w:t>
      </w:r>
      <w:r w:rsidR="007D6DF7" w:rsidRPr="00F658E7">
        <w:rPr>
          <w:rFonts w:ascii="Calibri" w:hAnsi="Calibri" w:cs="Calibri"/>
          <w:shd w:val="clear" w:color="auto" w:fill="FFFFFF"/>
        </w:rPr>
        <w:t>the</w:t>
      </w:r>
      <w:r w:rsidR="001F2A2F" w:rsidRPr="00F658E7">
        <w:rPr>
          <w:rFonts w:ascii="Calibri" w:hAnsi="Calibri" w:cs="Calibri"/>
          <w:shd w:val="clear" w:color="auto" w:fill="FFFFFF"/>
        </w:rPr>
        <w:t xml:space="preserve"> ‘top down’</w:t>
      </w:r>
      <w:r w:rsidR="007A72C9" w:rsidRPr="00F658E7">
        <w:rPr>
          <w:rFonts w:ascii="Calibri" w:hAnsi="Calibri" w:cs="Calibri"/>
          <w:shd w:val="clear" w:color="auto" w:fill="FFFFFF"/>
        </w:rPr>
        <w:t xml:space="preserve">. It </w:t>
      </w:r>
      <w:r w:rsidR="001F2A2F" w:rsidRPr="00F658E7">
        <w:rPr>
          <w:rFonts w:ascii="Calibri" w:hAnsi="Calibri" w:cs="Calibri"/>
          <w:shd w:val="clear" w:color="auto" w:fill="FFFFFF"/>
        </w:rPr>
        <w:t xml:space="preserve">had the full </w:t>
      </w:r>
      <w:r w:rsidRPr="00F658E7">
        <w:rPr>
          <w:rFonts w:ascii="Calibri" w:hAnsi="Calibri" w:cs="Calibri"/>
          <w:shd w:val="clear" w:color="auto" w:fill="FFFFFF"/>
        </w:rPr>
        <w:t xml:space="preserve">support of </w:t>
      </w:r>
      <w:r w:rsidR="001F2A2F" w:rsidRPr="00F658E7">
        <w:rPr>
          <w:rFonts w:ascii="Calibri" w:hAnsi="Calibri" w:cs="Calibri"/>
          <w:shd w:val="clear" w:color="auto" w:fill="FFFFFF"/>
        </w:rPr>
        <w:t xml:space="preserve">the </w:t>
      </w:r>
      <w:r w:rsidRPr="00F658E7">
        <w:rPr>
          <w:rFonts w:ascii="Calibri" w:hAnsi="Calibri" w:cs="Calibri"/>
          <w:shd w:val="clear" w:color="auto" w:fill="FFFFFF"/>
        </w:rPr>
        <w:t xml:space="preserve">senior </w:t>
      </w:r>
      <w:r w:rsidR="008F36CC" w:rsidRPr="00F658E7">
        <w:rPr>
          <w:rFonts w:ascii="Calibri" w:hAnsi="Calibri" w:cs="Calibri"/>
          <w:shd w:val="clear" w:color="auto" w:fill="FFFFFF"/>
        </w:rPr>
        <w:t>leadership team</w:t>
      </w:r>
      <w:r w:rsidR="001F2A2F" w:rsidRPr="00F658E7">
        <w:rPr>
          <w:rFonts w:ascii="Calibri" w:hAnsi="Calibri" w:cs="Calibri"/>
          <w:shd w:val="clear" w:color="auto" w:fill="FFFFFF"/>
        </w:rPr>
        <w:t xml:space="preserve">, </w:t>
      </w:r>
      <w:r w:rsidRPr="00F658E7">
        <w:rPr>
          <w:rFonts w:ascii="Calibri" w:hAnsi="Calibri" w:cs="Calibri"/>
          <w:shd w:val="clear" w:color="auto" w:fill="FFFFFF"/>
        </w:rPr>
        <w:t>in particular</w:t>
      </w:r>
      <w:r w:rsidR="007D6DF7" w:rsidRPr="00F658E7">
        <w:rPr>
          <w:rFonts w:ascii="Calibri" w:hAnsi="Calibri" w:cs="Calibri"/>
          <w:shd w:val="clear" w:color="auto" w:fill="FFFFFF"/>
        </w:rPr>
        <w:t>,</w:t>
      </w:r>
      <w:r w:rsidRPr="00F658E7">
        <w:rPr>
          <w:rFonts w:ascii="Calibri" w:hAnsi="Calibri" w:cs="Calibri"/>
          <w:shd w:val="clear" w:color="auto" w:fill="FFFFFF"/>
        </w:rPr>
        <w:t xml:space="preserve"> the Deputy Vice Chancellor Academic</w:t>
      </w:r>
      <w:r w:rsidR="00C93F9F" w:rsidRPr="00F658E7">
        <w:rPr>
          <w:rFonts w:ascii="Calibri" w:hAnsi="Calibri" w:cs="Calibri"/>
          <w:shd w:val="clear" w:color="auto" w:fill="FFFFFF"/>
        </w:rPr>
        <w:t xml:space="preserve"> who has been shepherding the Plan</w:t>
      </w:r>
      <w:r w:rsidR="008F36CC" w:rsidRPr="00F658E7">
        <w:rPr>
          <w:rFonts w:ascii="Calibri" w:hAnsi="Calibri" w:cs="Calibri"/>
          <w:shd w:val="clear" w:color="auto" w:fill="FFFFFF"/>
        </w:rPr>
        <w:t>. At the beginning of 2022 the</w:t>
      </w:r>
      <w:r w:rsidRPr="00F658E7">
        <w:rPr>
          <w:rFonts w:ascii="Calibri" w:hAnsi="Calibri" w:cs="Calibri"/>
          <w:shd w:val="clear" w:color="auto" w:fill="FFFFFF"/>
        </w:rPr>
        <w:t xml:space="preserve"> DAP Working Group was formed with the express purpose of creating a DAP</w:t>
      </w:r>
      <w:r w:rsidR="007D6DF7" w:rsidRPr="00F658E7">
        <w:rPr>
          <w:rFonts w:ascii="Calibri" w:hAnsi="Calibri" w:cs="Calibri"/>
          <w:shd w:val="clear" w:color="auto" w:fill="FFFFFF"/>
        </w:rPr>
        <w:t>, that is,</w:t>
      </w:r>
      <w:r w:rsidRPr="00F658E7">
        <w:rPr>
          <w:rFonts w:ascii="Calibri" w:hAnsi="Calibri" w:cs="Calibri"/>
          <w:shd w:val="clear" w:color="auto" w:fill="FFFFFF"/>
        </w:rPr>
        <w:t xml:space="preserve"> “</w:t>
      </w:r>
      <w:r w:rsidRPr="00665B84">
        <w:rPr>
          <w:rFonts w:ascii="Calibri" w:hAnsi="Calibri" w:cs="Calibri"/>
        </w:rPr>
        <w:t xml:space="preserve">A strategy for changing those practices of tertiary education organisations that might result </w:t>
      </w:r>
      <w:r w:rsidR="00902959" w:rsidRPr="00665B84">
        <w:rPr>
          <w:rFonts w:ascii="Calibri" w:hAnsi="Calibri" w:cs="Calibri"/>
        </w:rPr>
        <w:t>i</w:t>
      </w:r>
      <w:r w:rsidRPr="00F22E21">
        <w:rPr>
          <w:rFonts w:ascii="Calibri" w:hAnsi="Calibri" w:cs="Calibri"/>
        </w:rPr>
        <w:t xml:space="preserve">n discrimination (intentional or unintentional) against disabled people and to improve outcomes for disabled learners in their education journey” (TEC, 2021, p 3). </w:t>
      </w:r>
      <w:r w:rsidR="00131248" w:rsidRPr="00D910F0">
        <w:rPr>
          <w:rFonts w:ascii="Calibri" w:hAnsi="Calibri" w:cs="Calibri"/>
        </w:rPr>
        <w:t xml:space="preserve">Associate Professor </w:t>
      </w:r>
      <w:proofErr w:type="spellStart"/>
      <w:r w:rsidR="00131248" w:rsidRPr="00D910F0">
        <w:rPr>
          <w:rFonts w:ascii="Calibri" w:hAnsi="Calibri" w:cs="Calibri"/>
        </w:rPr>
        <w:t>Patsie</w:t>
      </w:r>
      <w:proofErr w:type="spellEnd"/>
      <w:r w:rsidR="00131248" w:rsidRPr="00D910F0">
        <w:rPr>
          <w:rFonts w:ascii="Calibri" w:hAnsi="Calibri" w:cs="Calibri"/>
        </w:rPr>
        <w:t xml:space="preserve"> Frawley </w:t>
      </w:r>
      <w:r w:rsidR="00131248" w:rsidRPr="00D910F0">
        <w:rPr>
          <w:rFonts w:ascii="Calibri" w:hAnsi="Calibri" w:cs="Calibri"/>
          <w:shd w:val="clear" w:color="auto" w:fill="FFFFFF"/>
        </w:rPr>
        <w:t xml:space="preserve">(Fellow of the Australasian Society of Intellectual Disability and leader of the University of Waikato’s programme in Disability and Inclusion Studies </w:t>
      </w:r>
      <w:r w:rsidR="00131248" w:rsidRPr="00D910F0">
        <w:rPr>
          <w:rFonts w:ascii="Calibri" w:hAnsi="Calibri" w:cs="Calibri"/>
        </w:rPr>
        <w:t xml:space="preserve">(Education)) chaired the Group. </w:t>
      </w:r>
      <w:r w:rsidRPr="00F658E7">
        <w:rPr>
          <w:rFonts w:ascii="Calibri" w:hAnsi="Calibri" w:cs="Calibri"/>
          <w:shd w:val="clear" w:color="auto" w:fill="FFFFFF"/>
        </w:rPr>
        <w:t>The Terms of Reference were</w:t>
      </w:r>
      <w:r w:rsidR="00131248" w:rsidRPr="00F658E7">
        <w:rPr>
          <w:rFonts w:ascii="Calibri" w:hAnsi="Calibri" w:cs="Calibri"/>
          <w:shd w:val="clear" w:color="auto" w:fill="FFFFFF"/>
        </w:rPr>
        <w:t xml:space="preserve"> to</w:t>
      </w:r>
      <w:r w:rsidRPr="00F658E7">
        <w:rPr>
          <w:rFonts w:ascii="Calibri" w:hAnsi="Calibri" w:cs="Calibri"/>
          <w:shd w:val="clear" w:color="auto" w:fill="FFFFFF"/>
        </w:rPr>
        <w:t>:</w:t>
      </w:r>
      <w:r w:rsidR="00131248" w:rsidRPr="00665B84">
        <w:rPr>
          <w:rFonts w:ascii="Calibri" w:hAnsi="Calibri" w:cs="Calibri"/>
        </w:rPr>
        <w:t xml:space="preserve"> </w:t>
      </w:r>
    </w:p>
    <w:p w14:paraId="28E68815" w14:textId="77777777" w:rsidR="007D6DF7" w:rsidRPr="00D910F0" w:rsidRDefault="007D6DF7" w:rsidP="0012782C">
      <w:pPr>
        <w:spacing w:after="0" w:line="240" w:lineRule="auto"/>
        <w:rPr>
          <w:rFonts w:ascii="Calibri" w:hAnsi="Calibri" w:cs="Calibri"/>
        </w:rPr>
      </w:pPr>
    </w:p>
    <w:p w14:paraId="1E5F1B46" w14:textId="240D335F" w:rsidR="00804BDD" w:rsidRPr="00D910F0" w:rsidRDefault="00804BDD" w:rsidP="0012782C">
      <w:pPr>
        <w:pStyle w:val="ListParagraph"/>
        <w:numPr>
          <w:ilvl w:val="0"/>
          <w:numId w:val="11"/>
        </w:numPr>
        <w:spacing w:after="0" w:line="240" w:lineRule="auto"/>
        <w:rPr>
          <w:rFonts w:ascii="Calibri" w:hAnsi="Calibri" w:cs="Calibri"/>
        </w:rPr>
      </w:pPr>
      <w:r w:rsidRPr="00D910F0">
        <w:rPr>
          <w:rFonts w:ascii="Calibri" w:hAnsi="Calibri" w:cs="Calibri"/>
        </w:rPr>
        <w:t xml:space="preserve">work through the Kia </w:t>
      </w:r>
      <w:proofErr w:type="spellStart"/>
      <w:r w:rsidRPr="00D910F0">
        <w:rPr>
          <w:rFonts w:ascii="Calibri" w:hAnsi="Calibri" w:cs="Calibri"/>
        </w:rPr>
        <w:t>Ōrite</w:t>
      </w:r>
      <w:proofErr w:type="spellEnd"/>
      <w:r w:rsidRPr="00D910F0">
        <w:rPr>
          <w:rFonts w:ascii="Calibri" w:hAnsi="Calibri" w:cs="Calibri"/>
        </w:rPr>
        <w:t xml:space="preserve"> toolkit to develop the DAP</w:t>
      </w:r>
      <w:r w:rsidR="007E6C8D">
        <w:rPr>
          <w:rFonts w:ascii="Calibri" w:hAnsi="Calibri" w:cs="Calibri"/>
        </w:rPr>
        <w:t>;</w:t>
      </w:r>
    </w:p>
    <w:p w14:paraId="41A6042D" w14:textId="0F81E22D" w:rsidR="00804BDD" w:rsidRPr="00D910F0" w:rsidRDefault="00804BDD" w:rsidP="0012782C">
      <w:pPr>
        <w:pStyle w:val="ListParagraph"/>
        <w:numPr>
          <w:ilvl w:val="0"/>
          <w:numId w:val="11"/>
        </w:numPr>
        <w:spacing w:after="0" w:line="240" w:lineRule="auto"/>
        <w:rPr>
          <w:rFonts w:ascii="Calibri" w:hAnsi="Calibri" w:cs="Calibri"/>
        </w:rPr>
      </w:pPr>
      <w:r w:rsidRPr="00D910F0">
        <w:rPr>
          <w:rFonts w:ascii="Calibri" w:hAnsi="Calibri" w:cs="Calibri"/>
        </w:rPr>
        <w:t>review the current situation – including disabled learners’ experiences and policies and practices of the University to identify existing barriers and enablers to access and inclusion</w:t>
      </w:r>
      <w:r w:rsidR="007E6C8D">
        <w:rPr>
          <w:rFonts w:ascii="Calibri" w:hAnsi="Calibri" w:cs="Calibri"/>
        </w:rPr>
        <w:t>;</w:t>
      </w:r>
      <w:r w:rsidRPr="00D910F0">
        <w:rPr>
          <w:rFonts w:ascii="Calibri" w:hAnsi="Calibri" w:cs="Calibri"/>
        </w:rPr>
        <w:t xml:space="preserve"> </w:t>
      </w:r>
    </w:p>
    <w:p w14:paraId="18FB1196" w14:textId="05F8EB3F" w:rsidR="00804BDD" w:rsidRPr="00D910F0" w:rsidRDefault="00131248" w:rsidP="0012782C">
      <w:pPr>
        <w:pStyle w:val="ListParagraph"/>
        <w:numPr>
          <w:ilvl w:val="0"/>
          <w:numId w:val="11"/>
        </w:numPr>
        <w:spacing w:after="0" w:line="240" w:lineRule="auto"/>
        <w:rPr>
          <w:rFonts w:ascii="Calibri" w:hAnsi="Calibri" w:cs="Calibri"/>
        </w:rPr>
      </w:pPr>
      <w:r w:rsidRPr="00D910F0">
        <w:rPr>
          <w:rFonts w:ascii="Calibri" w:hAnsi="Calibri" w:cs="Calibri"/>
        </w:rPr>
        <w:t>set</w:t>
      </w:r>
      <w:r w:rsidR="00804BDD" w:rsidRPr="00D910F0">
        <w:rPr>
          <w:rFonts w:ascii="Calibri" w:hAnsi="Calibri" w:cs="Calibri"/>
        </w:rPr>
        <w:t xml:space="preserve"> goals and strategies by asking disabled learners what would make the biggest difference for them to address barriers to access, inclusion and success</w:t>
      </w:r>
      <w:r w:rsidR="007E6C8D">
        <w:rPr>
          <w:rFonts w:ascii="Calibri" w:hAnsi="Calibri" w:cs="Calibri"/>
        </w:rPr>
        <w:t>;</w:t>
      </w:r>
    </w:p>
    <w:p w14:paraId="72DE55CC" w14:textId="0381547D" w:rsidR="00804BDD" w:rsidRPr="00D910F0" w:rsidRDefault="00804BDD" w:rsidP="0012782C">
      <w:pPr>
        <w:pStyle w:val="ListParagraph"/>
        <w:numPr>
          <w:ilvl w:val="0"/>
          <w:numId w:val="11"/>
        </w:numPr>
        <w:spacing w:after="0" w:line="240" w:lineRule="auto"/>
        <w:rPr>
          <w:rFonts w:ascii="Calibri" w:hAnsi="Calibri" w:cs="Calibri"/>
        </w:rPr>
      </w:pPr>
      <w:r w:rsidRPr="00D910F0">
        <w:rPr>
          <w:rFonts w:ascii="Calibri" w:hAnsi="Calibri" w:cs="Calibri"/>
        </w:rPr>
        <w:t>consult with staff and management to identify ways to develop the University as a leading accessible and inclusive tertiary education organisation.</w:t>
      </w:r>
    </w:p>
    <w:p w14:paraId="74280BC7" w14:textId="77777777" w:rsidR="007D6DF7" w:rsidRPr="00D910F0" w:rsidRDefault="007D6DF7" w:rsidP="0012782C">
      <w:pPr>
        <w:spacing w:after="0" w:line="240" w:lineRule="auto"/>
        <w:rPr>
          <w:rFonts w:ascii="Calibri" w:hAnsi="Calibri" w:cs="Calibri"/>
        </w:rPr>
      </w:pPr>
    </w:p>
    <w:p w14:paraId="7EF77BBA" w14:textId="26A9C0B4" w:rsidR="008E1E22" w:rsidRPr="00D910F0" w:rsidRDefault="00135F48" w:rsidP="0012782C">
      <w:pPr>
        <w:spacing w:after="0" w:line="240" w:lineRule="auto"/>
        <w:rPr>
          <w:rFonts w:ascii="Calibri" w:hAnsi="Calibri" w:cs="Calibri"/>
          <w:shd w:val="clear" w:color="auto" w:fill="FFFFFF"/>
        </w:rPr>
      </w:pPr>
      <w:r w:rsidRPr="00D910F0">
        <w:rPr>
          <w:rFonts w:ascii="Calibri" w:hAnsi="Calibri" w:cs="Calibri"/>
          <w:shd w:val="clear" w:color="auto" w:fill="FFFFFF"/>
        </w:rPr>
        <w:t>In the summer of 2021/22 a research project</w:t>
      </w:r>
      <w:r w:rsidRPr="00D910F0">
        <w:rPr>
          <w:rFonts w:ascii="Arial" w:eastAsiaTheme="minorHAnsi" w:hAnsi="Arial" w:cs="Arial"/>
          <w:sz w:val="24"/>
          <w:szCs w:val="24"/>
          <w:lang w:eastAsia="en-US"/>
        </w:rPr>
        <w:t xml:space="preserve"> ‘</w:t>
      </w:r>
      <w:r w:rsidRPr="00D910F0">
        <w:rPr>
          <w:rFonts w:ascii="Calibri" w:hAnsi="Calibri" w:cs="Calibri"/>
          <w:shd w:val="clear" w:color="auto" w:fill="FFFFFF"/>
        </w:rPr>
        <w:t xml:space="preserve">Learning and living at </w:t>
      </w:r>
      <w:proofErr w:type="spellStart"/>
      <w:r w:rsidRPr="00D910F0">
        <w:rPr>
          <w:rFonts w:ascii="Calibri" w:hAnsi="Calibri" w:cs="Calibri"/>
          <w:shd w:val="clear" w:color="auto" w:fill="FFFFFF"/>
        </w:rPr>
        <w:t>Te</w:t>
      </w:r>
      <w:proofErr w:type="spellEnd"/>
      <w:r w:rsidRPr="00D910F0">
        <w:rPr>
          <w:rFonts w:ascii="Calibri" w:hAnsi="Calibri" w:cs="Calibri"/>
          <w:shd w:val="clear" w:color="auto" w:fill="FFFFFF"/>
        </w:rPr>
        <w:t xml:space="preserve"> </w:t>
      </w:r>
      <w:proofErr w:type="spellStart"/>
      <w:r w:rsidRPr="00D910F0">
        <w:rPr>
          <w:rFonts w:ascii="Calibri" w:hAnsi="Calibri" w:cs="Calibri"/>
          <w:shd w:val="clear" w:color="auto" w:fill="FFFFFF"/>
        </w:rPr>
        <w:t>Whare</w:t>
      </w:r>
      <w:proofErr w:type="spellEnd"/>
      <w:r w:rsidRPr="00D910F0">
        <w:rPr>
          <w:rFonts w:ascii="Calibri" w:hAnsi="Calibri" w:cs="Calibri"/>
          <w:shd w:val="clear" w:color="auto" w:fill="FFFFFF"/>
        </w:rPr>
        <w:t xml:space="preserve"> Wānanga o Waikato The University of Waikato; a disabled person’s experience’ was undertaken </w:t>
      </w:r>
      <w:r w:rsidR="008E6338">
        <w:rPr>
          <w:rFonts w:ascii="Calibri" w:hAnsi="Calibri" w:cs="Calibri"/>
          <w:shd w:val="clear" w:color="auto" w:fill="FFFFFF"/>
        </w:rPr>
        <w:t xml:space="preserve">by </w:t>
      </w:r>
      <w:r w:rsidRPr="00D910F0">
        <w:rPr>
          <w:rFonts w:ascii="Calibri" w:hAnsi="Calibri" w:cs="Calibri"/>
          <w:shd w:val="clear" w:color="auto" w:fill="FFFFFF"/>
        </w:rPr>
        <w:t xml:space="preserve">Nikita </w:t>
      </w:r>
      <w:proofErr w:type="spellStart"/>
      <w:r w:rsidRPr="00D910F0">
        <w:rPr>
          <w:rFonts w:ascii="Calibri" w:hAnsi="Calibri" w:cs="Calibri"/>
          <w:shd w:val="clear" w:color="auto" w:fill="FFFFFF"/>
        </w:rPr>
        <w:t>VanDjik</w:t>
      </w:r>
      <w:proofErr w:type="spellEnd"/>
      <w:r w:rsidR="008E6338">
        <w:rPr>
          <w:rFonts w:ascii="Calibri" w:hAnsi="Calibri" w:cs="Calibri"/>
          <w:shd w:val="clear" w:color="auto" w:fill="FFFFFF"/>
        </w:rPr>
        <w:t xml:space="preserve"> a disabled student and president of the University of Waikato Disabled Students Association. The study was </w:t>
      </w:r>
      <w:r w:rsidRPr="00D910F0">
        <w:rPr>
          <w:rFonts w:ascii="Calibri" w:hAnsi="Calibri" w:cs="Calibri"/>
          <w:shd w:val="clear" w:color="auto" w:fill="FFFFFF"/>
        </w:rPr>
        <w:t xml:space="preserve">supervised by </w:t>
      </w:r>
      <w:r w:rsidR="00873B9C" w:rsidRPr="00D910F0">
        <w:rPr>
          <w:rFonts w:ascii="Calibri" w:hAnsi="Calibri" w:cs="Calibri"/>
          <w:shd w:val="clear" w:color="auto" w:fill="FFFFFF"/>
        </w:rPr>
        <w:t>Associate</w:t>
      </w:r>
      <w:r w:rsidRPr="00D910F0">
        <w:rPr>
          <w:rFonts w:ascii="Calibri" w:hAnsi="Calibri" w:cs="Calibri"/>
          <w:shd w:val="clear" w:color="auto" w:fill="FFFFFF"/>
        </w:rPr>
        <w:t xml:space="preserve"> Professor </w:t>
      </w:r>
      <w:proofErr w:type="spellStart"/>
      <w:r w:rsidRPr="00D910F0">
        <w:rPr>
          <w:rFonts w:ascii="Calibri" w:hAnsi="Calibri" w:cs="Calibri"/>
          <w:shd w:val="clear" w:color="auto" w:fill="FFFFFF"/>
        </w:rPr>
        <w:t>Patsie</w:t>
      </w:r>
      <w:proofErr w:type="spellEnd"/>
      <w:r w:rsidRPr="00D910F0">
        <w:rPr>
          <w:rFonts w:ascii="Calibri" w:hAnsi="Calibri" w:cs="Calibri"/>
          <w:shd w:val="clear" w:color="auto" w:fill="FFFFFF"/>
        </w:rPr>
        <w:t xml:space="preserve"> Frawley and Professor Claire Breen as part of the University Summer Scholarship programme. For this study</w:t>
      </w:r>
      <w:r w:rsidR="0062115A" w:rsidRPr="00D910F0">
        <w:rPr>
          <w:rFonts w:ascii="Calibri" w:hAnsi="Calibri" w:cs="Calibri"/>
          <w:shd w:val="clear" w:color="auto" w:fill="FFFFFF"/>
        </w:rPr>
        <w:t>,</w:t>
      </w:r>
      <w:r w:rsidRPr="00D910F0">
        <w:rPr>
          <w:rFonts w:ascii="Calibri" w:hAnsi="Calibri" w:cs="Calibri"/>
          <w:shd w:val="clear" w:color="auto" w:fill="FFFFFF"/>
        </w:rPr>
        <w:t xml:space="preserve"> six disabled students were interviewed to inform an understanding of access and inclusion for disabled students at the University of Waikato.  This research was an important ‘starting point’ for the DAP working group highlighting that barriers to access and inclusion for disabled students included a range of physical barriers within the built environment</w:t>
      </w:r>
      <w:r w:rsidR="008E1E22" w:rsidRPr="00D910F0">
        <w:rPr>
          <w:rFonts w:ascii="Calibri" w:hAnsi="Calibri" w:cs="Calibri"/>
          <w:shd w:val="clear" w:color="auto" w:fill="FFFFFF"/>
        </w:rPr>
        <w:t xml:space="preserve"> where students felt ‘</w:t>
      </w:r>
      <w:r w:rsidR="00B144A2" w:rsidRPr="00D910F0">
        <w:rPr>
          <w:rFonts w:ascii="Calibri" w:hAnsi="Calibri" w:cs="Calibri"/>
          <w:shd w:val="clear" w:color="auto" w:fill="FFFFFF"/>
        </w:rPr>
        <w:t xml:space="preserve">… </w:t>
      </w:r>
      <w:r w:rsidR="008E1E22" w:rsidRPr="00D910F0">
        <w:rPr>
          <w:rFonts w:ascii="Calibri" w:hAnsi="Calibri" w:cs="Calibri"/>
          <w:shd w:val="clear" w:color="auto" w:fill="FFFFFF"/>
        </w:rPr>
        <w:t>accessibility feels more like an afterthought rather than a priority</w:t>
      </w:r>
      <w:r w:rsidR="0062115A" w:rsidRPr="00D910F0">
        <w:rPr>
          <w:rFonts w:ascii="Calibri" w:hAnsi="Calibri" w:cs="Calibri"/>
          <w:shd w:val="clear" w:color="auto" w:fill="FFFFFF"/>
        </w:rPr>
        <w:t>’</w:t>
      </w:r>
      <w:r w:rsidR="008E1E22" w:rsidRPr="00D910F0">
        <w:rPr>
          <w:rFonts w:ascii="Calibri" w:hAnsi="Calibri" w:cs="Calibri"/>
          <w:shd w:val="clear" w:color="auto" w:fill="FFFFFF"/>
        </w:rPr>
        <w:t>;</w:t>
      </w:r>
      <w:r w:rsidRPr="00D910F0">
        <w:rPr>
          <w:rFonts w:ascii="Calibri" w:hAnsi="Calibri" w:cs="Calibri"/>
          <w:shd w:val="clear" w:color="auto" w:fill="FFFFFF"/>
        </w:rPr>
        <w:t xml:space="preserve"> </w:t>
      </w:r>
      <w:bookmarkStart w:id="13" w:name="_Hlk120286372"/>
      <w:r w:rsidRPr="00D910F0">
        <w:rPr>
          <w:rFonts w:ascii="Calibri" w:hAnsi="Calibri" w:cs="Calibri"/>
          <w:shd w:val="clear" w:color="auto" w:fill="FFFFFF"/>
        </w:rPr>
        <w:t>challenges to online access and inclusion due mainly to inaccessible teaching and learning materials</w:t>
      </w:r>
      <w:r w:rsidR="008E1E22" w:rsidRPr="00D910F0">
        <w:rPr>
          <w:rFonts w:ascii="Calibri" w:hAnsi="Calibri" w:cs="Calibri"/>
          <w:shd w:val="clear" w:color="auto" w:fill="FFFFFF"/>
        </w:rPr>
        <w:t>,</w:t>
      </w:r>
      <w:r w:rsidRPr="00D910F0">
        <w:rPr>
          <w:rFonts w:ascii="Calibri" w:hAnsi="Calibri" w:cs="Calibri"/>
          <w:shd w:val="clear" w:color="auto" w:fill="FFFFFF"/>
        </w:rPr>
        <w:t xml:space="preserve"> and a significant issue with</w:t>
      </w:r>
      <w:r w:rsidR="008E1E22" w:rsidRPr="00D910F0">
        <w:rPr>
          <w:rFonts w:ascii="Calibri" w:hAnsi="Calibri" w:cs="Calibri"/>
          <w:shd w:val="clear" w:color="auto" w:fill="FFFFFF"/>
        </w:rPr>
        <w:t xml:space="preserve"> teaching staff attitudes and approaches to understanding and implementing</w:t>
      </w:r>
      <w:r w:rsidRPr="00D910F0">
        <w:rPr>
          <w:rFonts w:ascii="Calibri" w:hAnsi="Calibri" w:cs="Calibri"/>
          <w:shd w:val="clear" w:color="auto" w:fill="FFFFFF"/>
        </w:rPr>
        <w:t xml:space="preserve"> accommodations for, and adaptations to teaching, learning and assessment</w:t>
      </w:r>
      <w:r w:rsidR="008E1E22" w:rsidRPr="00D910F0">
        <w:rPr>
          <w:rFonts w:ascii="Calibri" w:hAnsi="Calibri" w:cs="Calibri"/>
          <w:shd w:val="clear" w:color="auto" w:fill="FFFFFF"/>
        </w:rPr>
        <w:t xml:space="preserve">. </w:t>
      </w:r>
      <w:bookmarkEnd w:id="13"/>
      <w:r w:rsidR="008E1E22" w:rsidRPr="00D910F0">
        <w:rPr>
          <w:rFonts w:ascii="Calibri" w:hAnsi="Calibri" w:cs="Calibri"/>
          <w:shd w:val="clear" w:color="auto" w:fill="FFFFFF"/>
        </w:rPr>
        <w:t>A general finding was that much more could be done to engage with, hear and acknowledge the ‘disabled student voice’ in all aspects of the student experience. Importantly this study also found that where disabled students had support through Accessibility Services their experiences were in the main positive</w:t>
      </w:r>
      <w:r w:rsidR="0062115A" w:rsidRPr="00D910F0">
        <w:rPr>
          <w:rFonts w:ascii="Calibri" w:hAnsi="Calibri" w:cs="Calibri"/>
          <w:shd w:val="clear" w:color="auto" w:fill="FFFFFF"/>
        </w:rPr>
        <w:t>;</w:t>
      </w:r>
      <w:r w:rsidR="008E1E22" w:rsidRPr="00D910F0">
        <w:rPr>
          <w:rFonts w:ascii="Calibri" w:hAnsi="Calibri" w:cs="Calibri"/>
          <w:shd w:val="clear" w:color="auto" w:fill="FFFFFF"/>
        </w:rPr>
        <w:t xml:space="preserve"> however</w:t>
      </w:r>
      <w:r w:rsidR="0062115A" w:rsidRPr="00D910F0">
        <w:rPr>
          <w:rFonts w:ascii="Calibri" w:hAnsi="Calibri" w:cs="Calibri"/>
          <w:shd w:val="clear" w:color="auto" w:fill="FFFFFF"/>
        </w:rPr>
        <w:t>,</w:t>
      </w:r>
      <w:r w:rsidR="008E1E22" w:rsidRPr="00D910F0">
        <w:rPr>
          <w:rFonts w:ascii="Calibri" w:hAnsi="Calibri" w:cs="Calibri"/>
          <w:shd w:val="clear" w:color="auto" w:fill="FFFFFF"/>
        </w:rPr>
        <w:t xml:space="preserve"> the limited nature of what these services could provide did mean for some students the full scope of their needs </w:t>
      </w:r>
      <w:r w:rsidR="006C021B">
        <w:rPr>
          <w:rFonts w:ascii="Calibri" w:hAnsi="Calibri" w:cs="Calibri"/>
          <w:shd w:val="clear" w:color="auto" w:fill="FFFFFF"/>
        </w:rPr>
        <w:t>may not have been met to date</w:t>
      </w:r>
      <w:r w:rsidR="008E1E22" w:rsidRPr="00D910F0">
        <w:rPr>
          <w:rFonts w:ascii="Calibri" w:hAnsi="Calibri" w:cs="Calibri"/>
          <w:shd w:val="clear" w:color="auto" w:fill="FFFFFF"/>
        </w:rPr>
        <w:t xml:space="preserve">.  </w:t>
      </w:r>
    </w:p>
    <w:p w14:paraId="338FC706" w14:textId="77777777" w:rsidR="008E1E22" w:rsidRPr="00D910F0" w:rsidRDefault="008E1E22" w:rsidP="0012782C">
      <w:pPr>
        <w:spacing w:after="0" w:line="240" w:lineRule="auto"/>
        <w:rPr>
          <w:rFonts w:ascii="Calibri" w:hAnsi="Calibri" w:cs="Calibri"/>
          <w:shd w:val="clear" w:color="auto" w:fill="FFFFFF"/>
        </w:rPr>
      </w:pPr>
    </w:p>
    <w:p w14:paraId="568E56B0" w14:textId="4A8F2761" w:rsidR="00902959" w:rsidRPr="00F658E7" w:rsidRDefault="008E1E22" w:rsidP="0012782C">
      <w:pPr>
        <w:spacing w:after="0" w:line="240" w:lineRule="auto"/>
        <w:rPr>
          <w:rFonts w:ascii="Calibri" w:hAnsi="Calibri" w:cs="Calibri"/>
          <w:shd w:val="clear" w:color="auto" w:fill="FFFFFF"/>
        </w:rPr>
      </w:pPr>
      <w:r w:rsidRPr="00D910F0">
        <w:rPr>
          <w:rFonts w:ascii="Calibri" w:hAnsi="Calibri" w:cs="Calibri"/>
          <w:shd w:val="clear" w:color="auto" w:fill="FFFFFF"/>
        </w:rPr>
        <w:t>The</w:t>
      </w:r>
      <w:r w:rsidR="00902959" w:rsidRPr="00D910F0">
        <w:rPr>
          <w:rFonts w:ascii="Calibri" w:hAnsi="Calibri" w:cs="Calibri"/>
          <w:shd w:val="clear" w:color="auto" w:fill="FFFFFF"/>
        </w:rPr>
        <w:t xml:space="preserve"> DAP Working Group</w:t>
      </w:r>
      <w:r w:rsidR="00E14D36" w:rsidRPr="00D910F0">
        <w:rPr>
          <w:rFonts w:ascii="Calibri" w:hAnsi="Calibri" w:cs="Calibri"/>
          <w:shd w:val="clear" w:color="auto" w:fill="FFFFFF"/>
        </w:rPr>
        <w:t xml:space="preserve"> (</w:t>
      </w:r>
      <w:r w:rsidR="0062115A" w:rsidRPr="00D910F0">
        <w:rPr>
          <w:rFonts w:ascii="Calibri" w:hAnsi="Calibri" w:cs="Calibri"/>
          <w:shd w:val="clear" w:color="auto" w:fill="FFFFFF"/>
        </w:rPr>
        <w:t>eight</w:t>
      </w:r>
      <w:r w:rsidRPr="00D910F0">
        <w:rPr>
          <w:rFonts w:ascii="Calibri" w:hAnsi="Calibri" w:cs="Calibri"/>
          <w:shd w:val="clear" w:color="auto" w:fill="FFFFFF"/>
        </w:rPr>
        <w:t xml:space="preserve"> </w:t>
      </w:r>
      <w:r w:rsidR="00902959" w:rsidRPr="00D910F0">
        <w:rPr>
          <w:rFonts w:ascii="Calibri" w:hAnsi="Calibri" w:cs="Calibri"/>
          <w:shd w:val="clear" w:color="auto" w:fill="FFFFFF"/>
        </w:rPr>
        <w:t xml:space="preserve">staff and </w:t>
      </w:r>
      <w:r w:rsidR="0062115A" w:rsidRPr="00D910F0">
        <w:rPr>
          <w:rFonts w:ascii="Calibri" w:hAnsi="Calibri" w:cs="Calibri"/>
          <w:shd w:val="clear" w:color="auto" w:fill="FFFFFF"/>
        </w:rPr>
        <w:t>two</w:t>
      </w:r>
      <w:r w:rsidRPr="00D910F0">
        <w:rPr>
          <w:rFonts w:ascii="Calibri" w:hAnsi="Calibri" w:cs="Calibri"/>
          <w:shd w:val="clear" w:color="auto" w:fill="FFFFFF"/>
        </w:rPr>
        <w:t xml:space="preserve"> disabled </w:t>
      </w:r>
      <w:r w:rsidR="00902959" w:rsidRPr="00D910F0">
        <w:rPr>
          <w:rFonts w:ascii="Calibri" w:hAnsi="Calibri" w:cs="Calibri"/>
          <w:shd w:val="clear" w:color="auto" w:fill="FFFFFF"/>
        </w:rPr>
        <w:t>students</w:t>
      </w:r>
      <w:r w:rsidR="00E14D36" w:rsidRPr="00D910F0">
        <w:rPr>
          <w:rFonts w:ascii="Calibri" w:hAnsi="Calibri" w:cs="Calibri"/>
          <w:shd w:val="clear" w:color="auto" w:fill="FFFFFF"/>
        </w:rPr>
        <w:t xml:space="preserve">) </w:t>
      </w:r>
      <w:r w:rsidR="00902959" w:rsidRPr="00F658E7">
        <w:rPr>
          <w:rFonts w:ascii="Calibri" w:hAnsi="Calibri" w:cs="Calibri"/>
          <w:shd w:val="clear" w:color="auto" w:fill="FFFFFF"/>
        </w:rPr>
        <w:t>met regularly over the course of 20</w:t>
      </w:r>
      <w:r w:rsidR="008F36CC" w:rsidRPr="00F658E7">
        <w:rPr>
          <w:rFonts w:ascii="Calibri" w:hAnsi="Calibri" w:cs="Calibri"/>
          <w:shd w:val="clear" w:color="auto" w:fill="FFFFFF"/>
        </w:rPr>
        <w:t>22</w:t>
      </w:r>
      <w:r w:rsidR="00902959" w:rsidRPr="00F658E7">
        <w:rPr>
          <w:rFonts w:ascii="Calibri" w:hAnsi="Calibri" w:cs="Calibri"/>
          <w:shd w:val="clear" w:color="auto" w:fill="FFFFFF"/>
        </w:rPr>
        <w:t>.</w:t>
      </w:r>
      <w:r w:rsidR="00E14D36" w:rsidRPr="00F658E7">
        <w:rPr>
          <w:rFonts w:ascii="Calibri" w:hAnsi="Calibri" w:cs="Calibri"/>
          <w:shd w:val="clear" w:color="auto" w:fill="FFFFFF"/>
        </w:rPr>
        <w:t xml:space="preserve"> Upon submission of the DAP to the TEC the Group </w:t>
      </w:r>
      <w:r w:rsidR="007D6DF7" w:rsidRPr="00F658E7">
        <w:rPr>
          <w:rFonts w:ascii="Calibri" w:hAnsi="Calibri" w:cs="Calibri"/>
          <w:shd w:val="clear" w:color="auto" w:fill="FFFFFF"/>
        </w:rPr>
        <w:t>is being</w:t>
      </w:r>
      <w:r w:rsidR="00E14D36" w:rsidRPr="00F658E7">
        <w:rPr>
          <w:rFonts w:ascii="Calibri" w:hAnsi="Calibri" w:cs="Calibri"/>
          <w:shd w:val="clear" w:color="auto" w:fill="FFFFFF"/>
        </w:rPr>
        <w:t xml:space="preserve"> reformed and renamed to become the Access and Inclusion Working Group. The role of this Group is discussed </w:t>
      </w:r>
      <w:r w:rsidR="001F2A2F" w:rsidRPr="00F658E7">
        <w:rPr>
          <w:rFonts w:ascii="Calibri" w:hAnsi="Calibri" w:cs="Calibri"/>
          <w:shd w:val="clear" w:color="auto" w:fill="FFFFFF"/>
        </w:rPr>
        <w:t>in the next section</w:t>
      </w:r>
      <w:r w:rsidR="007A72C9" w:rsidRPr="00F658E7">
        <w:rPr>
          <w:rFonts w:ascii="Calibri" w:hAnsi="Calibri" w:cs="Calibri"/>
          <w:shd w:val="clear" w:color="auto" w:fill="FFFFFF"/>
        </w:rPr>
        <w:t>.</w:t>
      </w:r>
    </w:p>
    <w:p w14:paraId="33E4BF0F" w14:textId="77777777" w:rsidR="00430EF7" w:rsidRPr="00F658E7" w:rsidRDefault="00430EF7" w:rsidP="0012782C">
      <w:pPr>
        <w:spacing w:after="0" w:line="240" w:lineRule="auto"/>
        <w:rPr>
          <w:rFonts w:ascii="Calibri" w:hAnsi="Calibri" w:cs="Calibri"/>
          <w:shd w:val="clear" w:color="auto" w:fill="FFFFFF"/>
        </w:rPr>
      </w:pPr>
    </w:p>
    <w:p w14:paraId="1401C7FC" w14:textId="388E62AE" w:rsidR="00321D99" w:rsidRPr="00F658E7" w:rsidRDefault="00430EF7" w:rsidP="0012782C">
      <w:pPr>
        <w:pStyle w:val="Heading2"/>
        <w:spacing w:line="240" w:lineRule="auto"/>
        <w:rPr>
          <w:color w:val="auto"/>
        </w:rPr>
      </w:pPr>
      <w:bookmarkStart w:id="14" w:name="_Toc120609557"/>
      <w:r w:rsidRPr="00F658E7">
        <w:rPr>
          <w:color w:val="auto"/>
          <w:shd w:val="clear" w:color="auto" w:fill="FFFFFF"/>
        </w:rPr>
        <w:t>1.</w:t>
      </w:r>
      <w:r w:rsidR="00EE345D" w:rsidRPr="00F658E7">
        <w:rPr>
          <w:color w:val="auto"/>
          <w:shd w:val="clear" w:color="auto" w:fill="FFFFFF"/>
        </w:rPr>
        <w:t>3</w:t>
      </w:r>
      <w:r w:rsidRPr="00F658E7">
        <w:rPr>
          <w:color w:val="auto"/>
          <w:shd w:val="clear" w:color="auto" w:fill="FFFFFF"/>
        </w:rPr>
        <w:t xml:space="preserve"> </w:t>
      </w:r>
      <w:r w:rsidRPr="00F658E7">
        <w:rPr>
          <w:color w:val="auto"/>
        </w:rPr>
        <w:t>DAP endorsement and accountabilities</w:t>
      </w:r>
      <w:bookmarkEnd w:id="14"/>
    </w:p>
    <w:p w14:paraId="03320C0D" w14:textId="25C0D492" w:rsidR="001F2A2F" w:rsidRPr="00D910F0" w:rsidRDefault="00430EF7" w:rsidP="0012782C">
      <w:pPr>
        <w:spacing w:after="0" w:line="240" w:lineRule="auto"/>
        <w:rPr>
          <w:rFonts w:ascii="Calibri" w:hAnsi="Calibri" w:cs="Calibri"/>
          <w:b/>
          <w:bCs/>
        </w:rPr>
      </w:pPr>
      <w:r w:rsidRPr="009E351C">
        <w:rPr>
          <w:rFonts w:ascii="Calibri" w:hAnsi="Calibri" w:cs="Calibri"/>
        </w:rPr>
        <w:t xml:space="preserve">The DAP </w:t>
      </w:r>
      <w:r w:rsidR="00723301" w:rsidRPr="009E351C">
        <w:rPr>
          <w:rFonts w:ascii="Calibri" w:hAnsi="Calibri" w:cs="Calibri"/>
        </w:rPr>
        <w:t>was</w:t>
      </w:r>
      <w:r w:rsidRPr="009E351C">
        <w:rPr>
          <w:rFonts w:ascii="Calibri" w:hAnsi="Calibri" w:cs="Calibri"/>
        </w:rPr>
        <w:t xml:space="preserve"> endorsed </w:t>
      </w:r>
      <w:r w:rsidR="00E93138" w:rsidRPr="009E351C">
        <w:rPr>
          <w:rFonts w:ascii="Calibri" w:hAnsi="Calibri" w:cs="Calibri"/>
        </w:rPr>
        <w:t xml:space="preserve">by the Vice-Chancellor’s Executive Committee on 28 November 2022 and </w:t>
      </w:r>
      <w:r w:rsidRPr="009E351C">
        <w:rPr>
          <w:rFonts w:ascii="Calibri" w:hAnsi="Calibri" w:cs="Calibri"/>
        </w:rPr>
        <w:t>by the University Counci</w:t>
      </w:r>
      <w:r w:rsidR="006B77AB" w:rsidRPr="009E351C">
        <w:rPr>
          <w:rFonts w:ascii="Calibri" w:hAnsi="Calibri" w:cs="Calibri"/>
        </w:rPr>
        <w:t xml:space="preserve">l on 6 December </w:t>
      </w:r>
      <w:r w:rsidR="002011D0" w:rsidRPr="009E351C">
        <w:rPr>
          <w:rFonts w:ascii="Calibri" w:hAnsi="Calibri" w:cs="Calibri"/>
        </w:rPr>
        <w:t>2022</w:t>
      </w:r>
      <w:r w:rsidR="00F06851">
        <w:rPr>
          <w:rFonts w:ascii="Calibri" w:hAnsi="Calibri" w:cs="Calibri"/>
        </w:rPr>
        <w:t xml:space="preserve"> [Please note: this is the plan being worked towards, not a </w:t>
      </w:r>
      <w:r w:rsidR="00F06851" w:rsidRPr="009E351C">
        <w:rPr>
          <w:rFonts w:ascii="Calibri" w:hAnsi="Calibri" w:cs="Calibri"/>
          <w:i/>
          <w:iCs/>
        </w:rPr>
        <w:t>fait accompli</w:t>
      </w:r>
      <w:r w:rsidR="00F06851">
        <w:rPr>
          <w:rFonts w:ascii="Calibri" w:hAnsi="Calibri" w:cs="Calibri"/>
        </w:rPr>
        <w:t>]</w:t>
      </w:r>
      <w:r w:rsidR="004E0C06" w:rsidRPr="009E351C">
        <w:rPr>
          <w:rFonts w:ascii="Calibri" w:hAnsi="Calibri" w:cs="Calibri"/>
        </w:rPr>
        <w:t>.</w:t>
      </w:r>
      <w:r w:rsidRPr="00D910F0">
        <w:rPr>
          <w:rFonts w:ascii="Calibri" w:hAnsi="Calibri" w:cs="Calibri"/>
        </w:rPr>
        <w:t xml:space="preserve"> </w:t>
      </w:r>
      <w:r w:rsidRPr="00665B84">
        <w:rPr>
          <w:rFonts w:ascii="Calibri" w:hAnsi="Calibri" w:cs="Calibri"/>
        </w:rPr>
        <w:t xml:space="preserve">Accountability for delivering the objectives of the DAP is shared </w:t>
      </w:r>
      <w:r w:rsidR="004E0C06" w:rsidRPr="00665B84">
        <w:rPr>
          <w:rFonts w:ascii="Calibri" w:hAnsi="Calibri" w:cs="Calibri"/>
        </w:rPr>
        <w:t>across</w:t>
      </w:r>
      <w:r w:rsidRPr="00F22E21">
        <w:rPr>
          <w:rFonts w:ascii="Calibri" w:hAnsi="Calibri" w:cs="Calibri"/>
        </w:rPr>
        <w:t xml:space="preserve"> four workstream owners. These workstream owners hold senior positions and will be required to report progress</w:t>
      </w:r>
      <w:r w:rsidR="00E14D36" w:rsidRPr="00D910F0">
        <w:rPr>
          <w:rFonts w:ascii="Calibri" w:hAnsi="Calibri" w:cs="Calibri"/>
        </w:rPr>
        <w:t xml:space="preserve"> </w:t>
      </w:r>
      <w:r w:rsidR="001F2A2F" w:rsidRPr="00D910F0">
        <w:rPr>
          <w:rFonts w:ascii="Calibri" w:hAnsi="Calibri" w:cs="Calibri"/>
        </w:rPr>
        <w:t>to the</w:t>
      </w:r>
      <w:r w:rsidR="00E14D36" w:rsidRPr="00D910F0">
        <w:rPr>
          <w:rFonts w:ascii="Calibri" w:hAnsi="Calibri" w:cs="Calibri"/>
        </w:rPr>
        <w:t xml:space="preserve"> </w:t>
      </w:r>
      <w:r w:rsidR="004E0C06" w:rsidRPr="00D910F0">
        <w:rPr>
          <w:rFonts w:ascii="Calibri" w:hAnsi="Calibri" w:cs="Calibri"/>
        </w:rPr>
        <w:t>Deputy Vice-Chancellor Academic</w:t>
      </w:r>
      <w:r w:rsidR="00E14D36" w:rsidRPr="00D910F0">
        <w:rPr>
          <w:rFonts w:ascii="Calibri" w:hAnsi="Calibri" w:cs="Calibri"/>
        </w:rPr>
        <w:t xml:space="preserve"> (DVCA). The DVCA</w:t>
      </w:r>
      <w:r w:rsidR="001F2A2F" w:rsidRPr="00D910F0">
        <w:rPr>
          <w:rFonts w:ascii="Calibri" w:hAnsi="Calibri" w:cs="Calibri"/>
        </w:rPr>
        <w:t xml:space="preserve"> </w:t>
      </w:r>
      <w:r w:rsidR="004E0C06" w:rsidRPr="00D910F0">
        <w:rPr>
          <w:rFonts w:ascii="Calibri" w:hAnsi="Calibri" w:cs="Calibri"/>
        </w:rPr>
        <w:t xml:space="preserve">will </w:t>
      </w:r>
      <w:r w:rsidR="004B0219" w:rsidRPr="00D910F0">
        <w:rPr>
          <w:rFonts w:ascii="Calibri" w:hAnsi="Calibri" w:cs="Calibri"/>
        </w:rPr>
        <w:t xml:space="preserve">in turn </w:t>
      </w:r>
      <w:r w:rsidR="007A72C9" w:rsidRPr="00D910F0">
        <w:rPr>
          <w:rFonts w:ascii="Calibri" w:hAnsi="Calibri" w:cs="Calibri"/>
        </w:rPr>
        <w:t>report twice yearly to the</w:t>
      </w:r>
      <w:r w:rsidR="004E0C06" w:rsidRPr="00D910F0">
        <w:rPr>
          <w:rFonts w:ascii="Calibri" w:hAnsi="Calibri" w:cs="Calibri"/>
        </w:rPr>
        <w:t xml:space="preserve"> </w:t>
      </w:r>
      <w:r w:rsidR="001F2A2F" w:rsidRPr="00D910F0">
        <w:rPr>
          <w:rFonts w:ascii="Calibri" w:hAnsi="Calibri" w:cs="Calibri"/>
        </w:rPr>
        <w:t xml:space="preserve">Vice-Chancellor’s Executive Committee and </w:t>
      </w:r>
      <w:r w:rsidR="00C93F9F" w:rsidRPr="00D910F0">
        <w:rPr>
          <w:rFonts w:ascii="Calibri" w:hAnsi="Calibri" w:cs="Calibri"/>
        </w:rPr>
        <w:t xml:space="preserve">to </w:t>
      </w:r>
      <w:r w:rsidR="001F2A2F" w:rsidRPr="00D910F0">
        <w:rPr>
          <w:rFonts w:ascii="Calibri" w:hAnsi="Calibri" w:cs="Calibri"/>
        </w:rPr>
        <w:t xml:space="preserve">the </w:t>
      </w:r>
      <w:r w:rsidR="004E0C06" w:rsidRPr="00D910F0">
        <w:rPr>
          <w:rFonts w:ascii="Calibri" w:hAnsi="Calibri" w:cs="Calibri"/>
        </w:rPr>
        <w:t>University Council</w:t>
      </w:r>
      <w:r w:rsidR="001F2A2F" w:rsidRPr="00D910F0">
        <w:rPr>
          <w:rFonts w:ascii="Calibri" w:hAnsi="Calibri" w:cs="Calibri"/>
        </w:rPr>
        <w:t xml:space="preserve">. </w:t>
      </w:r>
    </w:p>
    <w:p w14:paraId="05FE4706" w14:textId="77777777" w:rsidR="001F2A2F" w:rsidRPr="00D910F0" w:rsidRDefault="001F2A2F" w:rsidP="0012782C">
      <w:pPr>
        <w:spacing w:after="0" w:line="240" w:lineRule="auto"/>
        <w:rPr>
          <w:rFonts w:ascii="Calibri" w:hAnsi="Calibri" w:cs="Calibri"/>
        </w:rPr>
      </w:pPr>
    </w:p>
    <w:p w14:paraId="736763FA" w14:textId="32050785" w:rsidR="004E0C06" w:rsidRPr="00D910F0" w:rsidRDefault="00430EF7" w:rsidP="0012782C">
      <w:pPr>
        <w:spacing w:after="0" w:line="240" w:lineRule="auto"/>
        <w:rPr>
          <w:rFonts w:ascii="Calibri" w:hAnsi="Calibri" w:cs="Calibri"/>
        </w:rPr>
      </w:pPr>
      <w:r w:rsidRPr="00D910F0">
        <w:rPr>
          <w:rFonts w:ascii="Calibri" w:hAnsi="Calibri" w:cs="Calibri"/>
        </w:rPr>
        <w:t>The workstream owners’ roles are</w:t>
      </w:r>
      <w:r w:rsidR="002011D0" w:rsidRPr="00D910F0">
        <w:rPr>
          <w:rFonts w:ascii="Calibri" w:hAnsi="Calibri" w:cs="Calibri"/>
        </w:rPr>
        <w:t>:</w:t>
      </w:r>
    </w:p>
    <w:p w14:paraId="433A5D00" w14:textId="3965840A" w:rsidR="004E0C06" w:rsidRPr="00D910F0" w:rsidRDefault="004B0219" w:rsidP="0012782C">
      <w:pPr>
        <w:pStyle w:val="ListParagraph"/>
        <w:numPr>
          <w:ilvl w:val="0"/>
          <w:numId w:val="16"/>
        </w:numPr>
        <w:spacing w:after="0" w:line="240" w:lineRule="auto"/>
        <w:rPr>
          <w:rFonts w:ascii="Calibri" w:hAnsi="Calibri" w:cs="Calibri"/>
        </w:rPr>
      </w:pPr>
      <w:r w:rsidRPr="00D910F0">
        <w:rPr>
          <w:rFonts w:ascii="Calibri" w:hAnsi="Calibri" w:cs="Calibri"/>
        </w:rPr>
        <w:t xml:space="preserve">Director Student Services </w:t>
      </w:r>
      <w:r w:rsidR="002157E2" w:rsidRPr="00D910F0">
        <w:rPr>
          <w:rFonts w:ascii="Calibri" w:hAnsi="Calibri" w:cs="Calibri"/>
        </w:rPr>
        <w:t xml:space="preserve">(in partnership with Manager Accessibility Services) </w:t>
      </w:r>
      <w:r w:rsidR="001F2A2F" w:rsidRPr="00D910F0">
        <w:rPr>
          <w:rFonts w:ascii="Calibri" w:hAnsi="Calibri" w:cs="Calibri"/>
        </w:rPr>
        <w:t>who will be responsible for</w:t>
      </w:r>
      <w:r w:rsidR="00C93F9F" w:rsidRPr="00D910F0">
        <w:rPr>
          <w:rFonts w:ascii="Calibri" w:hAnsi="Calibri" w:cs="Calibri"/>
        </w:rPr>
        <w:t xml:space="preserve"> improving the quality of </w:t>
      </w:r>
      <w:r w:rsidR="008E1E22" w:rsidRPr="00D910F0">
        <w:rPr>
          <w:rFonts w:ascii="Calibri" w:hAnsi="Calibri" w:cs="Calibri"/>
        </w:rPr>
        <w:t xml:space="preserve">experience </w:t>
      </w:r>
      <w:r w:rsidR="002157E2" w:rsidRPr="00D910F0">
        <w:rPr>
          <w:rFonts w:ascii="Calibri" w:hAnsi="Calibri" w:cs="Calibri"/>
        </w:rPr>
        <w:t>for disabled learners (Objective 1) and increasing learner engagement (Objective 4)</w:t>
      </w:r>
      <w:r w:rsidR="007E6C8D">
        <w:rPr>
          <w:rFonts w:ascii="Calibri" w:hAnsi="Calibri" w:cs="Calibri"/>
        </w:rPr>
        <w:t>;</w:t>
      </w:r>
      <w:r w:rsidR="002157E2" w:rsidRPr="00D910F0">
        <w:rPr>
          <w:rFonts w:ascii="Calibri" w:hAnsi="Calibri" w:cs="Calibri"/>
        </w:rPr>
        <w:t xml:space="preserve"> </w:t>
      </w:r>
    </w:p>
    <w:p w14:paraId="5815710D" w14:textId="0687374C" w:rsidR="002011D0" w:rsidRPr="00F658E7" w:rsidRDefault="002157E2" w:rsidP="0012782C">
      <w:pPr>
        <w:pStyle w:val="ListParagraph"/>
        <w:numPr>
          <w:ilvl w:val="0"/>
          <w:numId w:val="16"/>
        </w:numPr>
        <w:spacing w:after="0" w:line="240" w:lineRule="auto"/>
        <w:rPr>
          <w:rFonts w:ascii="Calibri" w:hAnsi="Calibri" w:cs="Calibri"/>
          <w:shd w:val="clear" w:color="auto" w:fill="FFFFFF"/>
        </w:rPr>
      </w:pPr>
      <w:r w:rsidRPr="00D910F0">
        <w:rPr>
          <w:rFonts w:ascii="Calibri" w:hAnsi="Calibri" w:cs="Calibri"/>
        </w:rPr>
        <w:t>Director Property Services</w:t>
      </w:r>
      <w:r w:rsidR="00035815" w:rsidRPr="00D910F0">
        <w:rPr>
          <w:rFonts w:ascii="Calibri" w:hAnsi="Calibri" w:cs="Calibri"/>
        </w:rPr>
        <w:t xml:space="preserve"> who will be responsible for </w:t>
      </w:r>
      <w:r w:rsidRPr="00D910F0">
        <w:rPr>
          <w:rFonts w:ascii="Calibri" w:hAnsi="Calibri" w:cs="Calibri"/>
        </w:rPr>
        <w:t>creating barrier free access to the University (Objective 2)</w:t>
      </w:r>
      <w:r w:rsidR="007E6C8D">
        <w:rPr>
          <w:rFonts w:ascii="Calibri" w:hAnsi="Calibri" w:cs="Calibri"/>
        </w:rPr>
        <w:t>;</w:t>
      </w:r>
    </w:p>
    <w:p w14:paraId="1B1971CE" w14:textId="0C6112EA" w:rsidR="004E0C06" w:rsidRPr="00D910F0" w:rsidRDefault="00F82965" w:rsidP="0012782C">
      <w:pPr>
        <w:pStyle w:val="ListParagraph"/>
        <w:numPr>
          <w:ilvl w:val="0"/>
          <w:numId w:val="16"/>
        </w:numPr>
        <w:spacing w:after="0" w:line="240" w:lineRule="auto"/>
        <w:rPr>
          <w:rFonts w:ascii="Calibri" w:hAnsi="Calibri" w:cs="Calibri"/>
        </w:rPr>
      </w:pPr>
      <w:r w:rsidRPr="00665B84">
        <w:rPr>
          <w:rFonts w:ascii="Calibri" w:hAnsi="Calibri" w:cs="Calibri"/>
        </w:rPr>
        <w:t xml:space="preserve">Pro Vice-Chancellor Teaching and Learning </w:t>
      </w:r>
      <w:r w:rsidR="00035815" w:rsidRPr="00665B84">
        <w:rPr>
          <w:rFonts w:ascii="Calibri" w:hAnsi="Calibri" w:cs="Calibri"/>
        </w:rPr>
        <w:t>who will be responsible for</w:t>
      </w:r>
      <w:r w:rsidRPr="00F22E21">
        <w:rPr>
          <w:rFonts w:ascii="Calibri" w:hAnsi="Calibri" w:cs="Calibri"/>
        </w:rPr>
        <w:t xml:space="preserve"> </w:t>
      </w:r>
      <w:r w:rsidR="002157E2" w:rsidRPr="00F22E21">
        <w:rPr>
          <w:rFonts w:ascii="Calibri" w:hAnsi="Calibri" w:cs="Calibri"/>
        </w:rPr>
        <w:t>making the University a more inclusive teaching and learnin</w:t>
      </w:r>
      <w:r w:rsidR="002157E2" w:rsidRPr="00D910F0">
        <w:rPr>
          <w:rFonts w:ascii="Calibri" w:hAnsi="Calibri" w:cs="Calibri"/>
        </w:rPr>
        <w:t>g environment for disabled learner</w:t>
      </w:r>
      <w:r w:rsidR="0062115A" w:rsidRPr="00D910F0">
        <w:rPr>
          <w:rFonts w:ascii="Calibri" w:hAnsi="Calibri" w:cs="Calibri"/>
        </w:rPr>
        <w:t>s</w:t>
      </w:r>
      <w:r w:rsidR="002157E2" w:rsidRPr="00D910F0">
        <w:rPr>
          <w:rFonts w:ascii="Calibri" w:hAnsi="Calibri" w:cs="Calibri"/>
        </w:rPr>
        <w:t xml:space="preserve"> (Objective 3)</w:t>
      </w:r>
      <w:r w:rsidR="007E6C8D">
        <w:rPr>
          <w:rFonts w:ascii="Calibri" w:hAnsi="Calibri" w:cs="Calibri"/>
        </w:rPr>
        <w:t>;</w:t>
      </w:r>
    </w:p>
    <w:p w14:paraId="5BA3D54A" w14:textId="031F463F" w:rsidR="001F2A2F" w:rsidRPr="00D910F0" w:rsidRDefault="00376612" w:rsidP="0012782C">
      <w:pPr>
        <w:pStyle w:val="ListParagraph"/>
        <w:numPr>
          <w:ilvl w:val="0"/>
          <w:numId w:val="16"/>
        </w:numPr>
        <w:spacing w:after="0" w:line="240" w:lineRule="auto"/>
        <w:rPr>
          <w:rFonts w:ascii="Calibri" w:hAnsi="Calibri" w:cs="Calibri"/>
        </w:rPr>
      </w:pPr>
      <w:r w:rsidRPr="00D910F0">
        <w:rPr>
          <w:rFonts w:ascii="Calibri" w:hAnsi="Calibri" w:cs="Calibri"/>
        </w:rPr>
        <w:t xml:space="preserve">Deputy Vice-Chancellor Academic (in partnership with </w:t>
      </w:r>
      <w:r w:rsidR="004B0219" w:rsidRPr="00D910F0">
        <w:rPr>
          <w:rFonts w:ascii="Calibri" w:hAnsi="Calibri" w:cs="Calibri"/>
        </w:rPr>
        <w:t>Manager</w:t>
      </w:r>
      <w:r w:rsidR="004B0219" w:rsidRPr="00F658E7">
        <w:rPr>
          <w:rFonts w:ascii="Calibri" w:hAnsi="Calibri" w:cs="Calibri"/>
          <w:shd w:val="clear" w:color="auto" w:fill="FFFFFF"/>
        </w:rPr>
        <w:t xml:space="preserve">, </w:t>
      </w:r>
      <w:r w:rsidR="004B0219" w:rsidRPr="00665B84">
        <w:rPr>
          <w:rFonts w:ascii="Calibri" w:hAnsi="Calibri" w:cs="Calibri"/>
          <w:shd w:val="clear" w:color="auto" w:fill="FFFFFF"/>
        </w:rPr>
        <w:t>Policy and Governance</w:t>
      </w:r>
      <w:r w:rsidRPr="00665B84">
        <w:rPr>
          <w:rFonts w:ascii="Calibri" w:hAnsi="Calibri" w:cs="Calibri"/>
          <w:shd w:val="clear" w:color="auto" w:fill="FFFFFF"/>
        </w:rPr>
        <w:t>)</w:t>
      </w:r>
      <w:r w:rsidR="004B0219" w:rsidRPr="00F22E21">
        <w:rPr>
          <w:rFonts w:ascii="Calibri" w:hAnsi="Calibri" w:cs="Calibri"/>
          <w:shd w:val="clear" w:color="auto" w:fill="FFFFFF"/>
        </w:rPr>
        <w:t xml:space="preserve"> </w:t>
      </w:r>
      <w:r w:rsidR="00035815" w:rsidRPr="00D910F0">
        <w:rPr>
          <w:rFonts w:ascii="Calibri" w:hAnsi="Calibri" w:cs="Calibri"/>
          <w:shd w:val="clear" w:color="auto" w:fill="FFFFFF"/>
        </w:rPr>
        <w:t>who will be responsible for</w:t>
      </w:r>
      <w:r w:rsidR="002157E2" w:rsidRPr="00D910F0">
        <w:rPr>
          <w:rFonts w:ascii="Calibri" w:hAnsi="Calibri" w:cs="Calibri"/>
        </w:rPr>
        <w:t xml:space="preserve"> progressing work on policies (Objective 5)</w:t>
      </w:r>
      <w:r w:rsidR="007E6C8D">
        <w:rPr>
          <w:rFonts w:ascii="Calibri" w:hAnsi="Calibri" w:cs="Calibri"/>
        </w:rPr>
        <w:t>.</w:t>
      </w:r>
    </w:p>
    <w:p w14:paraId="54272ED3" w14:textId="77777777" w:rsidR="001F2A2F" w:rsidRPr="00D910F0" w:rsidRDefault="001F2A2F" w:rsidP="0012782C">
      <w:pPr>
        <w:spacing w:after="0" w:line="240" w:lineRule="auto"/>
        <w:rPr>
          <w:rFonts w:ascii="Calibri" w:hAnsi="Calibri" w:cs="Calibri"/>
        </w:rPr>
      </w:pPr>
    </w:p>
    <w:p w14:paraId="15C0EDC1" w14:textId="448734E3" w:rsidR="006A32B7" w:rsidRPr="00D910F0" w:rsidRDefault="006A32B7" w:rsidP="0012782C">
      <w:pPr>
        <w:spacing w:after="0" w:line="240" w:lineRule="auto"/>
        <w:rPr>
          <w:rFonts w:ascii="Calibri" w:hAnsi="Calibri" w:cs="Calibri"/>
        </w:rPr>
      </w:pPr>
      <w:r w:rsidRPr="00D910F0">
        <w:rPr>
          <w:rFonts w:ascii="Calibri" w:hAnsi="Calibri" w:cs="Calibri"/>
        </w:rPr>
        <w:t xml:space="preserve">Workstream owners </w:t>
      </w:r>
      <w:r w:rsidR="00910893" w:rsidRPr="00D910F0">
        <w:rPr>
          <w:rFonts w:ascii="Calibri" w:hAnsi="Calibri" w:cs="Calibri"/>
        </w:rPr>
        <w:t>will be held</w:t>
      </w:r>
      <w:r w:rsidRPr="00D910F0">
        <w:rPr>
          <w:rFonts w:ascii="Calibri" w:hAnsi="Calibri" w:cs="Calibri"/>
        </w:rPr>
        <w:t xml:space="preserve"> </w:t>
      </w:r>
      <w:r w:rsidR="00376612" w:rsidRPr="00D910F0">
        <w:rPr>
          <w:rFonts w:ascii="Calibri" w:hAnsi="Calibri" w:cs="Calibri"/>
        </w:rPr>
        <w:t>responsible</w:t>
      </w:r>
      <w:r w:rsidRPr="00D910F0">
        <w:rPr>
          <w:rFonts w:ascii="Calibri" w:hAnsi="Calibri" w:cs="Calibri"/>
        </w:rPr>
        <w:t xml:space="preserve"> for </w:t>
      </w:r>
      <w:r w:rsidR="00910893" w:rsidRPr="00D910F0">
        <w:rPr>
          <w:rFonts w:ascii="Calibri" w:hAnsi="Calibri" w:cs="Calibri"/>
        </w:rPr>
        <w:t>tasks and deliverables</w:t>
      </w:r>
      <w:r w:rsidRPr="00D910F0">
        <w:rPr>
          <w:rFonts w:ascii="Calibri" w:hAnsi="Calibri" w:cs="Calibri"/>
        </w:rPr>
        <w:t xml:space="preserve">, identifying risks and timeframes, and establishing </w:t>
      </w:r>
      <w:r w:rsidR="00910893" w:rsidRPr="00D910F0">
        <w:rPr>
          <w:rFonts w:ascii="Calibri" w:hAnsi="Calibri" w:cs="Calibri"/>
        </w:rPr>
        <w:t>the</w:t>
      </w:r>
      <w:r w:rsidRPr="00D910F0">
        <w:rPr>
          <w:rFonts w:ascii="Calibri" w:hAnsi="Calibri" w:cs="Calibri"/>
        </w:rPr>
        <w:t xml:space="preserve"> </w:t>
      </w:r>
      <w:r w:rsidR="00910893" w:rsidRPr="00D910F0">
        <w:rPr>
          <w:rFonts w:ascii="Calibri" w:hAnsi="Calibri" w:cs="Calibri"/>
        </w:rPr>
        <w:t xml:space="preserve">necessary </w:t>
      </w:r>
      <w:r w:rsidRPr="00D910F0">
        <w:rPr>
          <w:rFonts w:ascii="Calibri" w:hAnsi="Calibri" w:cs="Calibri"/>
        </w:rPr>
        <w:t xml:space="preserve">relationships to </w:t>
      </w:r>
      <w:r w:rsidR="00910893" w:rsidRPr="00D910F0">
        <w:rPr>
          <w:rFonts w:ascii="Calibri" w:hAnsi="Calibri" w:cs="Calibri"/>
        </w:rPr>
        <w:t>ensure</w:t>
      </w:r>
      <w:r w:rsidRPr="00D910F0">
        <w:rPr>
          <w:rFonts w:ascii="Calibri" w:hAnsi="Calibri" w:cs="Calibri"/>
        </w:rPr>
        <w:t xml:space="preserve"> successful delivery. Workstream owners </w:t>
      </w:r>
      <w:r w:rsidR="00376612" w:rsidRPr="00D910F0">
        <w:rPr>
          <w:rFonts w:ascii="Calibri" w:hAnsi="Calibri" w:cs="Calibri"/>
        </w:rPr>
        <w:t>will also be</w:t>
      </w:r>
      <w:r w:rsidRPr="00D910F0">
        <w:rPr>
          <w:rFonts w:ascii="Calibri" w:hAnsi="Calibri" w:cs="Calibri"/>
        </w:rPr>
        <w:t xml:space="preserve"> responsible for identifying the financial and staffing capacity necessary for effectively undertaking their assigned actions.</w:t>
      </w:r>
    </w:p>
    <w:p w14:paraId="256DCA6D" w14:textId="77777777" w:rsidR="006A32B7" w:rsidRPr="00F658E7" w:rsidRDefault="006A32B7" w:rsidP="0012782C">
      <w:pPr>
        <w:pStyle w:val="Default"/>
        <w:rPr>
          <w:rFonts w:ascii="Calibri" w:hAnsi="Calibri" w:cs="Calibri"/>
          <w:color w:val="auto"/>
          <w:shd w:val="clear" w:color="auto" w:fill="FFFFFF"/>
        </w:rPr>
      </w:pPr>
    </w:p>
    <w:p w14:paraId="1F41DD82" w14:textId="0D24235A" w:rsidR="00804BDD" w:rsidRPr="00D910F0" w:rsidRDefault="00910893" w:rsidP="0012782C">
      <w:pPr>
        <w:spacing w:after="0" w:line="240" w:lineRule="auto"/>
        <w:rPr>
          <w:rFonts w:ascii="Calibri" w:hAnsi="Calibri" w:cs="Calibri"/>
        </w:rPr>
      </w:pPr>
      <w:r w:rsidRPr="00665B84">
        <w:rPr>
          <w:rFonts w:ascii="Calibri" w:hAnsi="Calibri" w:cs="Calibri"/>
        </w:rPr>
        <w:t xml:space="preserve">In addition, </w:t>
      </w:r>
      <w:r w:rsidR="001F2A2F" w:rsidRPr="00665B84">
        <w:rPr>
          <w:rFonts w:ascii="Calibri" w:hAnsi="Calibri" w:cs="Calibri"/>
        </w:rPr>
        <w:t xml:space="preserve">workstream owners, or their nominees, will </w:t>
      </w:r>
      <w:r w:rsidR="00035815" w:rsidRPr="00F22E21">
        <w:rPr>
          <w:rFonts w:ascii="Calibri" w:hAnsi="Calibri" w:cs="Calibri"/>
        </w:rPr>
        <w:t xml:space="preserve">be ex-officio members of </w:t>
      </w:r>
      <w:r w:rsidR="007B385A" w:rsidRPr="00F22E21">
        <w:rPr>
          <w:rFonts w:ascii="Calibri" w:hAnsi="Calibri" w:cs="Calibri"/>
        </w:rPr>
        <w:t>a</w:t>
      </w:r>
      <w:r w:rsidR="001F2A2F" w:rsidRPr="00F22E21">
        <w:rPr>
          <w:rFonts w:ascii="Calibri" w:hAnsi="Calibri" w:cs="Calibri"/>
        </w:rPr>
        <w:t xml:space="preserve"> new group </w:t>
      </w:r>
      <w:r w:rsidR="007B385A" w:rsidRPr="00F22E21">
        <w:rPr>
          <w:rFonts w:ascii="Calibri" w:hAnsi="Calibri" w:cs="Calibri"/>
        </w:rPr>
        <w:t xml:space="preserve">that will be formed </w:t>
      </w:r>
      <w:r w:rsidR="001F2A2F" w:rsidRPr="00D910F0">
        <w:rPr>
          <w:rFonts w:ascii="Calibri" w:hAnsi="Calibri" w:cs="Calibri"/>
        </w:rPr>
        <w:t xml:space="preserve">– the Access and Inclusion Working Group. Members of the former DAP Working Group will be </w:t>
      </w:r>
      <w:r w:rsidR="007B385A" w:rsidRPr="00D910F0">
        <w:rPr>
          <w:rFonts w:ascii="Calibri" w:hAnsi="Calibri" w:cs="Calibri"/>
        </w:rPr>
        <w:t xml:space="preserve">invited to be </w:t>
      </w:r>
      <w:r w:rsidR="001F2A2F" w:rsidRPr="00D910F0">
        <w:rPr>
          <w:rFonts w:ascii="Calibri" w:hAnsi="Calibri" w:cs="Calibri"/>
        </w:rPr>
        <w:t xml:space="preserve">members of </w:t>
      </w:r>
      <w:r w:rsidR="00035815" w:rsidRPr="00D910F0">
        <w:rPr>
          <w:rFonts w:ascii="Calibri" w:hAnsi="Calibri" w:cs="Calibri"/>
        </w:rPr>
        <w:t>the</w:t>
      </w:r>
      <w:r w:rsidR="001F2A2F" w:rsidRPr="00D910F0">
        <w:rPr>
          <w:rFonts w:ascii="Calibri" w:hAnsi="Calibri" w:cs="Calibri"/>
        </w:rPr>
        <w:t xml:space="preserve"> </w:t>
      </w:r>
      <w:r w:rsidR="007B385A" w:rsidRPr="00D910F0">
        <w:rPr>
          <w:rFonts w:ascii="Calibri" w:hAnsi="Calibri" w:cs="Calibri"/>
        </w:rPr>
        <w:t xml:space="preserve">new </w:t>
      </w:r>
      <w:r w:rsidR="001F2A2F" w:rsidRPr="00D910F0">
        <w:rPr>
          <w:rFonts w:ascii="Calibri" w:hAnsi="Calibri" w:cs="Calibri"/>
        </w:rPr>
        <w:t>group.</w:t>
      </w:r>
      <w:r w:rsidR="00035815" w:rsidRPr="00D910F0">
        <w:rPr>
          <w:rFonts w:ascii="Calibri" w:hAnsi="Calibri" w:cs="Calibri"/>
        </w:rPr>
        <w:t xml:space="preserve"> </w:t>
      </w:r>
      <w:r w:rsidR="00216FDB" w:rsidRPr="00D910F0">
        <w:rPr>
          <w:rFonts w:ascii="Calibri" w:hAnsi="Calibri" w:cs="Calibri"/>
        </w:rPr>
        <w:t>In the process of determining the</w:t>
      </w:r>
      <w:r w:rsidR="007B385A" w:rsidRPr="00D910F0">
        <w:rPr>
          <w:rFonts w:ascii="Calibri" w:hAnsi="Calibri" w:cs="Calibri"/>
        </w:rPr>
        <w:t xml:space="preserve"> membership and terms of reference </w:t>
      </w:r>
      <w:r w:rsidR="00216FDB" w:rsidRPr="00D910F0">
        <w:rPr>
          <w:rFonts w:ascii="Calibri" w:hAnsi="Calibri" w:cs="Calibri"/>
        </w:rPr>
        <w:t xml:space="preserve">of this new Group </w:t>
      </w:r>
      <w:r w:rsidR="007B385A" w:rsidRPr="00D910F0">
        <w:rPr>
          <w:rFonts w:ascii="Calibri" w:hAnsi="Calibri" w:cs="Calibri"/>
        </w:rPr>
        <w:t>t</w:t>
      </w:r>
      <w:r w:rsidR="00035815" w:rsidRPr="00D910F0">
        <w:rPr>
          <w:rFonts w:ascii="Calibri" w:hAnsi="Calibri" w:cs="Calibri"/>
        </w:rPr>
        <w:t xml:space="preserve">he University </w:t>
      </w:r>
      <w:r w:rsidR="00216FDB" w:rsidRPr="00D910F0">
        <w:rPr>
          <w:rFonts w:ascii="Calibri" w:hAnsi="Calibri" w:cs="Calibri"/>
        </w:rPr>
        <w:t xml:space="preserve">will be </w:t>
      </w:r>
      <w:r w:rsidR="008E1E22" w:rsidRPr="00D910F0">
        <w:rPr>
          <w:rFonts w:ascii="Calibri" w:hAnsi="Calibri" w:cs="Calibri"/>
        </w:rPr>
        <w:t>cogni</w:t>
      </w:r>
      <w:r w:rsidR="00EA199D" w:rsidRPr="00D910F0">
        <w:rPr>
          <w:rFonts w:ascii="Calibri" w:hAnsi="Calibri" w:cs="Calibri"/>
        </w:rPr>
        <w:t>z</w:t>
      </w:r>
      <w:r w:rsidR="008E1E22" w:rsidRPr="00D910F0">
        <w:rPr>
          <w:rFonts w:ascii="Calibri" w:hAnsi="Calibri" w:cs="Calibri"/>
        </w:rPr>
        <w:t xml:space="preserve">ant </w:t>
      </w:r>
      <w:r w:rsidR="00216FDB" w:rsidRPr="00D910F0">
        <w:rPr>
          <w:rFonts w:ascii="Calibri" w:hAnsi="Calibri" w:cs="Calibri"/>
        </w:rPr>
        <w:t>of the</w:t>
      </w:r>
      <w:r w:rsidR="00035815" w:rsidRPr="00D910F0">
        <w:rPr>
          <w:rFonts w:ascii="Calibri" w:hAnsi="Calibri" w:cs="Calibri"/>
        </w:rPr>
        <w:t xml:space="preserve"> </w:t>
      </w:r>
      <w:bookmarkStart w:id="15" w:name="_Hlk120285441"/>
      <w:r w:rsidR="00035815" w:rsidRPr="00D910F0">
        <w:rPr>
          <w:rFonts w:ascii="Calibri" w:hAnsi="Calibri" w:cs="Calibri"/>
        </w:rPr>
        <w:t xml:space="preserve">importance of having disabled students and staff </w:t>
      </w:r>
      <w:r w:rsidR="00EA199D" w:rsidRPr="00D910F0">
        <w:rPr>
          <w:rFonts w:ascii="Calibri" w:hAnsi="Calibri" w:cs="Calibri"/>
        </w:rPr>
        <w:t xml:space="preserve">with a broad range of intersecting lived experiences of gender, culture and sexualities </w:t>
      </w:r>
      <w:r w:rsidR="00035815" w:rsidRPr="00D910F0">
        <w:rPr>
          <w:rFonts w:ascii="Calibri" w:hAnsi="Calibri" w:cs="Calibri"/>
        </w:rPr>
        <w:t>as members</w:t>
      </w:r>
      <w:r w:rsidR="00EA199D" w:rsidRPr="00D910F0">
        <w:rPr>
          <w:rFonts w:ascii="Calibri" w:hAnsi="Calibri" w:cs="Calibri"/>
        </w:rPr>
        <w:t>, and that disabled students from across Divisions, campuses and experiences of learning and living at</w:t>
      </w:r>
      <w:r w:rsidR="00EA199D" w:rsidRPr="00D910F0">
        <w:rPr>
          <w:rFonts w:ascii="Times New Roman" w:eastAsia="Times New Roman" w:hAnsi="Times New Roman" w:cs="Times New Roman"/>
          <w:sz w:val="24"/>
          <w:szCs w:val="24"/>
          <w:lang w:val="en-GB" w:eastAsia="en-NZ"/>
        </w:rPr>
        <w:t xml:space="preserve"> </w:t>
      </w:r>
      <w:proofErr w:type="spellStart"/>
      <w:r w:rsidR="00EA199D" w:rsidRPr="00D910F0">
        <w:rPr>
          <w:rFonts w:ascii="Calibri" w:hAnsi="Calibri" w:cs="Calibri"/>
          <w:lang w:val="en-GB"/>
        </w:rPr>
        <w:t>Te</w:t>
      </w:r>
      <w:proofErr w:type="spellEnd"/>
      <w:r w:rsidR="00EA199D" w:rsidRPr="00D910F0">
        <w:rPr>
          <w:rFonts w:ascii="Calibri" w:hAnsi="Calibri" w:cs="Calibri"/>
          <w:lang w:val="en-GB"/>
        </w:rPr>
        <w:t xml:space="preserve"> </w:t>
      </w:r>
      <w:proofErr w:type="spellStart"/>
      <w:r w:rsidR="00EA199D" w:rsidRPr="00D910F0">
        <w:rPr>
          <w:rFonts w:ascii="Calibri" w:hAnsi="Calibri" w:cs="Calibri"/>
          <w:lang w:val="en-GB"/>
        </w:rPr>
        <w:t>Whare</w:t>
      </w:r>
      <w:proofErr w:type="spellEnd"/>
      <w:r w:rsidR="00EA199D" w:rsidRPr="00D910F0">
        <w:rPr>
          <w:rFonts w:ascii="Calibri" w:hAnsi="Calibri" w:cs="Calibri"/>
          <w:lang w:val="en-GB"/>
        </w:rPr>
        <w:t xml:space="preserve"> Wānanga o Waikato The University of Waikato </w:t>
      </w:r>
      <w:r w:rsidR="00DA2729" w:rsidRPr="00D910F0">
        <w:rPr>
          <w:rFonts w:ascii="Calibri" w:hAnsi="Calibri" w:cs="Calibri"/>
          <w:lang w:val="en-GB"/>
        </w:rPr>
        <w:t>are represented</w:t>
      </w:r>
      <w:r w:rsidR="000E2EB6">
        <w:rPr>
          <w:rFonts w:ascii="Calibri" w:hAnsi="Calibri" w:cs="Calibri"/>
          <w:lang w:val="en-GB"/>
        </w:rPr>
        <w:t xml:space="preserve"> and able to lead different workstreams</w:t>
      </w:r>
      <w:r w:rsidR="00DA2729" w:rsidRPr="00D910F0">
        <w:rPr>
          <w:rFonts w:ascii="Calibri" w:hAnsi="Calibri" w:cs="Calibri"/>
        </w:rPr>
        <w:t>.</w:t>
      </w:r>
      <w:r w:rsidR="00035815" w:rsidRPr="00D910F0">
        <w:rPr>
          <w:rFonts w:ascii="Calibri" w:hAnsi="Calibri" w:cs="Calibri"/>
        </w:rPr>
        <w:t xml:space="preserve"> </w:t>
      </w:r>
      <w:bookmarkEnd w:id="15"/>
      <w:r w:rsidR="00035815" w:rsidRPr="00D910F0">
        <w:rPr>
          <w:rFonts w:ascii="Calibri" w:hAnsi="Calibri" w:cs="Calibri"/>
        </w:rPr>
        <w:t xml:space="preserve">The Access and Inclusion Working Group will draw on the Kia </w:t>
      </w:r>
      <w:proofErr w:type="spellStart"/>
      <w:r w:rsidR="00035815" w:rsidRPr="00D910F0">
        <w:rPr>
          <w:rFonts w:ascii="Calibri" w:hAnsi="Calibri" w:cs="Calibri"/>
        </w:rPr>
        <w:t>Ōrite</w:t>
      </w:r>
      <w:proofErr w:type="spellEnd"/>
      <w:r w:rsidR="00035815" w:rsidRPr="00D910F0">
        <w:rPr>
          <w:rFonts w:ascii="Calibri" w:hAnsi="Calibri" w:cs="Calibri"/>
        </w:rPr>
        <w:t xml:space="preserve"> Toolkit to progress </w:t>
      </w:r>
      <w:r w:rsidR="00EA199D" w:rsidRPr="00D910F0">
        <w:rPr>
          <w:rFonts w:ascii="Calibri" w:hAnsi="Calibri" w:cs="Calibri"/>
        </w:rPr>
        <w:t>the University DAP</w:t>
      </w:r>
      <w:r w:rsidR="006B29F4" w:rsidRPr="00D910F0">
        <w:rPr>
          <w:rFonts w:ascii="Calibri" w:hAnsi="Calibri" w:cs="Calibri"/>
        </w:rPr>
        <w:t>.</w:t>
      </w:r>
    </w:p>
    <w:p w14:paraId="51B59086" w14:textId="3D764BA2" w:rsidR="0028039B" w:rsidRPr="00D910F0" w:rsidRDefault="0028039B" w:rsidP="0012782C">
      <w:pPr>
        <w:spacing w:after="0" w:line="240" w:lineRule="auto"/>
        <w:rPr>
          <w:rFonts w:ascii="Calibri" w:hAnsi="Calibri" w:cs="Calibri"/>
        </w:rPr>
      </w:pPr>
    </w:p>
    <w:p w14:paraId="2BDE3C2D" w14:textId="1E65839D" w:rsidR="0028039B" w:rsidRPr="00D910F0" w:rsidRDefault="0028039B" w:rsidP="0012782C">
      <w:pPr>
        <w:spacing w:after="0" w:line="240" w:lineRule="auto"/>
        <w:rPr>
          <w:rFonts w:ascii="Calibri" w:hAnsi="Calibri" w:cs="Calibri"/>
        </w:rPr>
      </w:pPr>
      <w:r w:rsidRPr="00D910F0">
        <w:rPr>
          <w:rFonts w:ascii="Calibri" w:hAnsi="Calibri" w:cs="Calibri"/>
        </w:rPr>
        <w:t xml:space="preserve">One of the first tasks of the Access and Inclusion Working Group will be to establish a range of </w:t>
      </w:r>
      <w:r w:rsidR="005D020F" w:rsidRPr="00D910F0">
        <w:rPr>
          <w:rFonts w:ascii="Calibri" w:hAnsi="Calibri" w:cs="Calibri"/>
        </w:rPr>
        <w:t xml:space="preserve">key performance </w:t>
      </w:r>
      <w:r w:rsidRPr="00D910F0">
        <w:rPr>
          <w:rFonts w:ascii="Calibri" w:hAnsi="Calibri" w:cs="Calibri"/>
        </w:rPr>
        <w:t xml:space="preserve">indicators </w:t>
      </w:r>
      <w:r w:rsidR="005D020F" w:rsidRPr="00D910F0">
        <w:rPr>
          <w:rFonts w:ascii="Calibri" w:hAnsi="Calibri" w:cs="Calibri"/>
        </w:rPr>
        <w:t xml:space="preserve">(both qualitative and quantitative) </w:t>
      </w:r>
      <w:r w:rsidRPr="00D910F0">
        <w:rPr>
          <w:rFonts w:ascii="Calibri" w:hAnsi="Calibri" w:cs="Calibri"/>
        </w:rPr>
        <w:t>under each of the DAP’s Objectives</w:t>
      </w:r>
      <w:r w:rsidR="005D020F" w:rsidRPr="00D910F0">
        <w:rPr>
          <w:rFonts w:ascii="Calibri" w:hAnsi="Calibri" w:cs="Calibri"/>
        </w:rPr>
        <w:t xml:space="preserve">. These </w:t>
      </w:r>
      <w:r w:rsidRPr="00D910F0">
        <w:rPr>
          <w:rFonts w:ascii="Calibri" w:hAnsi="Calibri" w:cs="Calibri"/>
        </w:rPr>
        <w:t>will enable the University to assess our progress</w:t>
      </w:r>
      <w:r w:rsidR="005D020F" w:rsidRPr="00D910F0">
        <w:rPr>
          <w:rFonts w:ascii="Calibri" w:hAnsi="Calibri" w:cs="Calibri"/>
        </w:rPr>
        <w:t xml:space="preserve"> towards meeting the objectives</w:t>
      </w:r>
      <w:r w:rsidRPr="00D910F0">
        <w:rPr>
          <w:rFonts w:ascii="Calibri" w:hAnsi="Calibri" w:cs="Calibri"/>
        </w:rPr>
        <w:t xml:space="preserve">. </w:t>
      </w:r>
      <w:r w:rsidR="005D020F" w:rsidRPr="00D910F0">
        <w:rPr>
          <w:rFonts w:ascii="Calibri" w:hAnsi="Calibri" w:cs="Calibri"/>
        </w:rPr>
        <w:t xml:space="preserve">The </w:t>
      </w:r>
      <w:r w:rsidRPr="00D910F0">
        <w:t xml:space="preserve">DAP </w:t>
      </w:r>
      <w:r w:rsidR="005D020F" w:rsidRPr="00D910F0">
        <w:t>in the section</w:t>
      </w:r>
      <w:r w:rsidRPr="00D910F0">
        <w:t xml:space="preserve"> ‘What we will do to achieve this objective’</w:t>
      </w:r>
      <w:r w:rsidR="005D020F" w:rsidRPr="00D910F0">
        <w:t xml:space="preserve"> contains some operational information</w:t>
      </w:r>
      <w:r w:rsidR="006B29F4" w:rsidRPr="00D910F0">
        <w:t>,</w:t>
      </w:r>
      <w:r w:rsidR="005D020F" w:rsidRPr="00D910F0">
        <w:t xml:space="preserve"> but it is mainly designed to be aspirations. Therefore</w:t>
      </w:r>
      <w:r w:rsidRPr="00D910F0">
        <w:t xml:space="preserve">, in order </w:t>
      </w:r>
      <w:r w:rsidR="005D020F" w:rsidRPr="00D910F0">
        <w:t>that it</w:t>
      </w:r>
      <w:r w:rsidRPr="00D910F0">
        <w:t xml:space="preserve"> not become long and unwieldy more specific measures of success will </w:t>
      </w:r>
      <w:r w:rsidR="005D020F" w:rsidRPr="00D910F0">
        <w:t xml:space="preserve">be </w:t>
      </w:r>
      <w:r w:rsidRPr="00D910F0">
        <w:t>included in an ‘Indicators of Success Appendix’. This Appendix will be produced within six months of the Plan being submitted to TEC.</w:t>
      </w:r>
    </w:p>
    <w:p w14:paraId="3CDB9A2B" w14:textId="2D6B0DFA" w:rsidR="00804BDD" w:rsidRPr="00F658E7" w:rsidRDefault="00131248" w:rsidP="0012782C">
      <w:pPr>
        <w:pStyle w:val="Heading1"/>
        <w:spacing w:line="240" w:lineRule="auto"/>
        <w:rPr>
          <w:color w:val="auto"/>
          <w:shd w:val="clear" w:color="auto" w:fill="FFFFFF"/>
        </w:rPr>
      </w:pPr>
      <w:bookmarkStart w:id="16" w:name="_Toc120609558"/>
      <w:r w:rsidRPr="00F658E7">
        <w:rPr>
          <w:color w:val="auto"/>
        </w:rPr>
        <w:t xml:space="preserve">2. </w:t>
      </w:r>
      <w:r w:rsidR="006C021B">
        <w:rPr>
          <w:color w:val="auto"/>
        </w:rPr>
        <w:t>Overview</w:t>
      </w:r>
      <w:r w:rsidR="006C021B" w:rsidRPr="00F658E7">
        <w:rPr>
          <w:color w:val="auto"/>
        </w:rPr>
        <w:t xml:space="preserve"> </w:t>
      </w:r>
      <w:r w:rsidR="00EC5DF9" w:rsidRPr="00F658E7">
        <w:rPr>
          <w:color w:val="auto"/>
        </w:rPr>
        <w:t>of current activities</w:t>
      </w:r>
      <w:bookmarkEnd w:id="16"/>
    </w:p>
    <w:p w14:paraId="080F833C" w14:textId="59527CFA" w:rsidR="006C021B" w:rsidRDefault="002011D0" w:rsidP="0012782C">
      <w:pPr>
        <w:pStyle w:val="Default"/>
        <w:rPr>
          <w:rFonts w:ascii="Calibri" w:hAnsi="Calibri" w:cs="Calibri"/>
          <w:color w:val="auto"/>
          <w:sz w:val="22"/>
          <w:szCs w:val="22"/>
        </w:rPr>
      </w:pPr>
      <w:r w:rsidRPr="00F658E7">
        <w:rPr>
          <w:rFonts w:ascii="Calibri" w:hAnsi="Calibri" w:cs="Calibri"/>
          <w:color w:val="auto"/>
          <w:sz w:val="22"/>
          <w:szCs w:val="22"/>
        </w:rPr>
        <w:t>Over the past year</w:t>
      </w:r>
      <w:r w:rsidR="00DA2729" w:rsidRPr="00F658E7">
        <w:rPr>
          <w:rFonts w:ascii="Calibri" w:hAnsi="Calibri" w:cs="Calibri"/>
          <w:color w:val="auto"/>
          <w:sz w:val="22"/>
          <w:szCs w:val="22"/>
        </w:rPr>
        <w:t xml:space="preserve"> building on the ‘Learning and living at </w:t>
      </w:r>
      <w:proofErr w:type="spellStart"/>
      <w:r w:rsidR="00DA2729" w:rsidRPr="00F658E7">
        <w:rPr>
          <w:rFonts w:ascii="Calibri" w:hAnsi="Calibri" w:cs="Calibri"/>
          <w:color w:val="auto"/>
          <w:sz w:val="22"/>
          <w:szCs w:val="22"/>
        </w:rPr>
        <w:t>Te</w:t>
      </w:r>
      <w:proofErr w:type="spellEnd"/>
      <w:r w:rsidR="00DA2729" w:rsidRPr="00F658E7">
        <w:rPr>
          <w:rFonts w:ascii="Calibri" w:hAnsi="Calibri" w:cs="Calibri"/>
          <w:color w:val="auto"/>
          <w:sz w:val="22"/>
          <w:szCs w:val="22"/>
        </w:rPr>
        <w:t xml:space="preserve"> </w:t>
      </w:r>
      <w:proofErr w:type="spellStart"/>
      <w:r w:rsidR="00DA2729" w:rsidRPr="00F658E7">
        <w:rPr>
          <w:rFonts w:ascii="Calibri" w:hAnsi="Calibri" w:cs="Calibri"/>
          <w:color w:val="auto"/>
          <w:sz w:val="22"/>
          <w:szCs w:val="22"/>
        </w:rPr>
        <w:t>Whare</w:t>
      </w:r>
      <w:proofErr w:type="spellEnd"/>
      <w:r w:rsidR="00DA2729" w:rsidRPr="00F658E7">
        <w:rPr>
          <w:rFonts w:ascii="Calibri" w:hAnsi="Calibri" w:cs="Calibri"/>
          <w:color w:val="auto"/>
          <w:sz w:val="22"/>
          <w:szCs w:val="22"/>
        </w:rPr>
        <w:t xml:space="preserve"> Wānanga o Waikato’ report</w:t>
      </w:r>
      <w:r w:rsidRPr="00F658E7">
        <w:rPr>
          <w:rFonts w:ascii="Calibri" w:hAnsi="Calibri" w:cs="Calibri"/>
          <w:color w:val="auto"/>
          <w:sz w:val="22"/>
          <w:szCs w:val="22"/>
        </w:rPr>
        <w:t xml:space="preserve"> the DAP Working Grou</w:t>
      </w:r>
      <w:r w:rsidR="00B144A2" w:rsidRPr="00F658E7">
        <w:rPr>
          <w:rFonts w:ascii="Calibri" w:hAnsi="Calibri" w:cs="Calibri"/>
          <w:color w:val="auto"/>
          <w:sz w:val="22"/>
          <w:szCs w:val="22"/>
        </w:rPr>
        <w:t>p</w:t>
      </w:r>
      <w:r w:rsidRPr="00F658E7">
        <w:rPr>
          <w:rFonts w:ascii="Calibri" w:hAnsi="Calibri" w:cs="Calibri"/>
          <w:color w:val="auto"/>
          <w:sz w:val="22"/>
          <w:szCs w:val="22"/>
        </w:rPr>
        <w:t xml:space="preserve"> has completed a stocktake </w:t>
      </w:r>
      <w:r w:rsidR="009232D3" w:rsidRPr="00F658E7">
        <w:rPr>
          <w:rFonts w:ascii="Calibri" w:hAnsi="Calibri" w:cs="Calibri"/>
          <w:color w:val="auto"/>
          <w:sz w:val="22"/>
          <w:szCs w:val="22"/>
        </w:rPr>
        <w:t xml:space="preserve">in relation </w:t>
      </w:r>
      <w:r w:rsidR="000A3259">
        <w:rPr>
          <w:rFonts w:ascii="Calibri" w:hAnsi="Calibri" w:cs="Calibri"/>
          <w:color w:val="auto"/>
          <w:sz w:val="22"/>
          <w:szCs w:val="22"/>
        </w:rPr>
        <w:t xml:space="preserve">to </w:t>
      </w:r>
      <w:r w:rsidR="00910893" w:rsidRPr="00F658E7">
        <w:rPr>
          <w:rFonts w:ascii="Calibri" w:hAnsi="Calibri" w:cs="Calibri"/>
          <w:color w:val="auto"/>
          <w:sz w:val="22"/>
          <w:szCs w:val="22"/>
        </w:rPr>
        <w:t>current activities focused on</w:t>
      </w:r>
      <w:r w:rsidR="009232D3" w:rsidRPr="00F658E7">
        <w:rPr>
          <w:rFonts w:ascii="Calibri" w:hAnsi="Calibri" w:cs="Calibri"/>
          <w:color w:val="auto"/>
          <w:sz w:val="22"/>
          <w:szCs w:val="22"/>
        </w:rPr>
        <w:t xml:space="preserve"> disabled students</w:t>
      </w:r>
      <w:r w:rsidRPr="00F658E7">
        <w:rPr>
          <w:rFonts w:ascii="Calibri" w:hAnsi="Calibri" w:cs="Calibri"/>
          <w:color w:val="auto"/>
          <w:sz w:val="22"/>
          <w:szCs w:val="22"/>
        </w:rPr>
        <w:t>.</w:t>
      </w:r>
      <w:r w:rsidR="0037768F" w:rsidRPr="00F658E7">
        <w:rPr>
          <w:rFonts w:ascii="Calibri" w:hAnsi="Calibri" w:cs="Calibri"/>
          <w:color w:val="auto"/>
          <w:sz w:val="22"/>
          <w:szCs w:val="22"/>
        </w:rPr>
        <w:t xml:space="preserve"> This investigation ma</w:t>
      </w:r>
      <w:r w:rsidR="009232D3" w:rsidRPr="00F658E7">
        <w:rPr>
          <w:rFonts w:ascii="Calibri" w:hAnsi="Calibri" w:cs="Calibri"/>
          <w:color w:val="auto"/>
          <w:sz w:val="22"/>
          <w:szCs w:val="22"/>
        </w:rPr>
        <w:t>de</w:t>
      </w:r>
      <w:r w:rsidR="0037768F" w:rsidRPr="00F658E7">
        <w:rPr>
          <w:rFonts w:ascii="Calibri" w:hAnsi="Calibri" w:cs="Calibri"/>
          <w:color w:val="auto"/>
          <w:sz w:val="22"/>
          <w:szCs w:val="22"/>
        </w:rPr>
        <w:t xml:space="preserve"> it clear </w:t>
      </w:r>
      <w:r w:rsidR="00067EA9" w:rsidRPr="00F658E7">
        <w:rPr>
          <w:rFonts w:ascii="Calibri" w:hAnsi="Calibri" w:cs="Calibri"/>
          <w:color w:val="auto"/>
          <w:sz w:val="22"/>
          <w:szCs w:val="22"/>
        </w:rPr>
        <w:t>that the</w:t>
      </w:r>
      <w:r w:rsidR="0037768F" w:rsidRPr="00F658E7">
        <w:rPr>
          <w:rFonts w:ascii="Calibri" w:hAnsi="Calibri" w:cs="Calibri"/>
          <w:color w:val="auto"/>
          <w:sz w:val="22"/>
          <w:szCs w:val="22"/>
        </w:rPr>
        <w:t xml:space="preserve"> </w:t>
      </w:r>
      <w:r w:rsidR="004E0C06" w:rsidRPr="00F658E7">
        <w:rPr>
          <w:rFonts w:ascii="Calibri" w:hAnsi="Calibri" w:cs="Calibri"/>
          <w:color w:val="auto"/>
          <w:sz w:val="22"/>
          <w:szCs w:val="22"/>
        </w:rPr>
        <w:t xml:space="preserve">University of Waikato has a number of </w:t>
      </w:r>
      <w:r w:rsidR="0037768F" w:rsidRPr="00F658E7">
        <w:rPr>
          <w:rFonts w:ascii="Calibri" w:hAnsi="Calibri" w:cs="Calibri"/>
          <w:color w:val="auto"/>
          <w:sz w:val="22"/>
          <w:szCs w:val="22"/>
        </w:rPr>
        <w:t xml:space="preserve">excellent </w:t>
      </w:r>
      <w:r w:rsidR="004E0C06" w:rsidRPr="00F658E7">
        <w:rPr>
          <w:rFonts w:ascii="Calibri" w:hAnsi="Calibri" w:cs="Calibri"/>
          <w:color w:val="auto"/>
          <w:sz w:val="22"/>
          <w:szCs w:val="22"/>
        </w:rPr>
        <w:t>initiatives and workstreams</w:t>
      </w:r>
      <w:r w:rsidR="00681C15" w:rsidRPr="00F658E7">
        <w:rPr>
          <w:rFonts w:ascii="Calibri" w:hAnsi="Calibri" w:cs="Calibri"/>
          <w:color w:val="auto"/>
          <w:sz w:val="22"/>
          <w:szCs w:val="22"/>
        </w:rPr>
        <w:t xml:space="preserve"> in place and</w:t>
      </w:r>
      <w:r w:rsidR="0037768F" w:rsidRPr="00F658E7">
        <w:rPr>
          <w:rFonts w:ascii="Calibri" w:hAnsi="Calibri" w:cs="Calibri"/>
          <w:color w:val="auto"/>
          <w:sz w:val="22"/>
          <w:szCs w:val="22"/>
        </w:rPr>
        <w:t xml:space="preserve"> underway</w:t>
      </w:r>
      <w:r w:rsidR="004E0C06" w:rsidRPr="00F658E7">
        <w:rPr>
          <w:rFonts w:ascii="Calibri" w:hAnsi="Calibri" w:cs="Calibri"/>
          <w:color w:val="auto"/>
          <w:sz w:val="22"/>
          <w:szCs w:val="22"/>
        </w:rPr>
        <w:t xml:space="preserve"> to improve the educational experiences and outcomes for disabled students</w:t>
      </w:r>
      <w:r w:rsidR="006B29F4" w:rsidRPr="00F658E7">
        <w:rPr>
          <w:rFonts w:ascii="Calibri" w:hAnsi="Calibri" w:cs="Calibri"/>
          <w:color w:val="auto"/>
          <w:sz w:val="22"/>
          <w:szCs w:val="22"/>
        </w:rPr>
        <w:t>. However</w:t>
      </w:r>
      <w:r w:rsidR="00DA2729" w:rsidRPr="00F658E7">
        <w:rPr>
          <w:rFonts w:ascii="Calibri" w:hAnsi="Calibri" w:cs="Calibri"/>
          <w:color w:val="auto"/>
          <w:sz w:val="22"/>
          <w:szCs w:val="22"/>
        </w:rPr>
        <w:t>,</w:t>
      </w:r>
      <w:r w:rsidR="004E0C06" w:rsidRPr="00F658E7">
        <w:rPr>
          <w:rFonts w:ascii="Calibri" w:hAnsi="Calibri" w:cs="Calibri"/>
          <w:color w:val="auto"/>
          <w:sz w:val="22"/>
          <w:szCs w:val="22"/>
        </w:rPr>
        <w:t xml:space="preserve"> we know this is insufficient since inequities </w:t>
      </w:r>
      <w:r w:rsidR="006B29F4" w:rsidRPr="00F658E7">
        <w:rPr>
          <w:rFonts w:ascii="Calibri" w:hAnsi="Calibri" w:cs="Calibri"/>
          <w:color w:val="auto"/>
          <w:sz w:val="22"/>
          <w:szCs w:val="22"/>
        </w:rPr>
        <w:t xml:space="preserve">persist </w:t>
      </w:r>
      <w:r w:rsidR="004E0C06" w:rsidRPr="00F658E7">
        <w:rPr>
          <w:rFonts w:ascii="Calibri" w:hAnsi="Calibri" w:cs="Calibri"/>
          <w:color w:val="auto"/>
          <w:sz w:val="22"/>
          <w:szCs w:val="22"/>
        </w:rPr>
        <w:t>between d</w:t>
      </w:r>
      <w:r w:rsidR="00BF10A6" w:rsidRPr="00F658E7">
        <w:rPr>
          <w:rFonts w:ascii="Calibri" w:hAnsi="Calibri" w:cs="Calibri"/>
          <w:color w:val="auto"/>
          <w:sz w:val="22"/>
          <w:szCs w:val="22"/>
        </w:rPr>
        <w:t xml:space="preserve">isabled </w:t>
      </w:r>
      <w:r w:rsidR="004E0C06" w:rsidRPr="00F658E7">
        <w:rPr>
          <w:rFonts w:ascii="Calibri" w:hAnsi="Calibri" w:cs="Calibri"/>
          <w:color w:val="auto"/>
          <w:sz w:val="22"/>
          <w:szCs w:val="22"/>
        </w:rPr>
        <w:t>students</w:t>
      </w:r>
      <w:r w:rsidR="00BF10A6" w:rsidRPr="00F658E7">
        <w:rPr>
          <w:rFonts w:ascii="Calibri" w:hAnsi="Calibri" w:cs="Calibri"/>
          <w:color w:val="auto"/>
          <w:sz w:val="22"/>
          <w:szCs w:val="22"/>
        </w:rPr>
        <w:t xml:space="preserve"> in comparison to </w:t>
      </w:r>
      <w:r w:rsidR="004E0C06" w:rsidRPr="00F658E7">
        <w:rPr>
          <w:rFonts w:ascii="Calibri" w:hAnsi="Calibri" w:cs="Calibri"/>
          <w:color w:val="auto"/>
          <w:sz w:val="22"/>
          <w:szCs w:val="22"/>
        </w:rPr>
        <w:t>students</w:t>
      </w:r>
      <w:r w:rsidR="00BF10A6" w:rsidRPr="00F658E7">
        <w:rPr>
          <w:rFonts w:ascii="Calibri" w:hAnsi="Calibri" w:cs="Calibri"/>
          <w:color w:val="auto"/>
          <w:sz w:val="22"/>
          <w:szCs w:val="22"/>
        </w:rPr>
        <w:t xml:space="preserve"> </w:t>
      </w:r>
      <w:r w:rsidR="00376612" w:rsidRPr="00F658E7">
        <w:rPr>
          <w:rFonts w:ascii="Calibri" w:hAnsi="Calibri" w:cs="Calibri"/>
          <w:color w:val="auto"/>
          <w:sz w:val="22"/>
          <w:szCs w:val="22"/>
        </w:rPr>
        <w:t>who do not present with</w:t>
      </w:r>
      <w:r w:rsidR="00BF10A6" w:rsidRPr="00F658E7">
        <w:rPr>
          <w:rFonts w:ascii="Calibri" w:hAnsi="Calibri" w:cs="Calibri"/>
          <w:color w:val="auto"/>
          <w:sz w:val="22"/>
          <w:szCs w:val="22"/>
        </w:rPr>
        <w:t xml:space="preserve"> disabilities</w:t>
      </w:r>
      <w:r w:rsidR="00376612" w:rsidRPr="00F658E7">
        <w:rPr>
          <w:rFonts w:ascii="Calibri" w:hAnsi="Calibri" w:cs="Calibri"/>
          <w:color w:val="auto"/>
          <w:sz w:val="22"/>
          <w:szCs w:val="22"/>
        </w:rPr>
        <w:t xml:space="preserve"> (</w:t>
      </w:r>
      <w:r w:rsidR="00700658" w:rsidRPr="00F658E7">
        <w:rPr>
          <w:rFonts w:ascii="Calibri" w:hAnsi="Calibri" w:cs="Calibri"/>
          <w:color w:val="auto"/>
          <w:sz w:val="22"/>
          <w:szCs w:val="22"/>
        </w:rPr>
        <w:t>refer to</w:t>
      </w:r>
      <w:r w:rsidR="00376612" w:rsidRPr="00F658E7">
        <w:rPr>
          <w:rFonts w:ascii="Calibri" w:hAnsi="Calibri" w:cs="Calibri"/>
          <w:color w:val="auto"/>
          <w:sz w:val="22"/>
          <w:szCs w:val="22"/>
        </w:rPr>
        <w:t xml:space="preserve"> Table </w:t>
      </w:r>
      <w:r w:rsidR="00700658" w:rsidRPr="00F658E7">
        <w:rPr>
          <w:rFonts w:ascii="Calibri" w:hAnsi="Calibri" w:cs="Calibri"/>
          <w:color w:val="auto"/>
          <w:sz w:val="22"/>
          <w:szCs w:val="22"/>
        </w:rPr>
        <w:t>3</w:t>
      </w:r>
      <w:r w:rsidR="00376612" w:rsidRPr="00F658E7">
        <w:rPr>
          <w:rFonts w:ascii="Calibri" w:hAnsi="Calibri" w:cs="Calibri"/>
          <w:color w:val="auto"/>
          <w:sz w:val="22"/>
          <w:szCs w:val="22"/>
        </w:rPr>
        <w:t>)</w:t>
      </w:r>
      <w:r w:rsidR="00BF10A6" w:rsidRPr="00F658E7">
        <w:rPr>
          <w:rFonts w:ascii="Calibri" w:hAnsi="Calibri" w:cs="Calibri"/>
          <w:color w:val="auto"/>
          <w:sz w:val="22"/>
          <w:szCs w:val="22"/>
        </w:rPr>
        <w:t>. These inequities can limit options for, and create barriers to, tertiary education</w:t>
      </w:r>
      <w:r w:rsidR="004E0C06" w:rsidRPr="00F658E7">
        <w:rPr>
          <w:rFonts w:ascii="Calibri" w:hAnsi="Calibri" w:cs="Calibri"/>
          <w:color w:val="auto"/>
          <w:sz w:val="22"/>
          <w:szCs w:val="22"/>
        </w:rPr>
        <w:t>. Furthermore, we know the</w:t>
      </w:r>
      <w:r w:rsidR="006C021B">
        <w:rPr>
          <w:rFonts w:ascii="Calibri" w:hAnsi="Calibri" w:cs="Calibri"/>
          <w:color w:val="auto"/>
          <w:sz w:val="22"/>
          <w:szCs w:val="22"/>
        </w:rPr>
        <w:t xml:space="preserve">re are a number of other factors that potentially impact on student outcomes, many of which are being addressed through a range of initiatives currently underway at the University – including the </w:t>
      </w:r>
      <w:proofErr w:type="spellStart"/>
      <w:r w:rsidR="00A15EE1">
        <w:rPr>
          <w:rFonts w:ascii="Calibri" w:hAnsi="Calibri" w:cs="Calibri"/>
          <w:color w:val="auto"/>
          <w:sz w:val="22"/>
          <w:szCs w:val="22"/>
        </w:rPr>
        <w:t>Ōritetanga</w:t>
      </w:r>
      <w:proofErr w:type="spellEnd"/>
      <w:r w:rsidR="006C021B">
        <w:rPr>
          <w:rFonts w:ascii="Calibri" w:hAnsi="Calibri" w:cs="Calibri"/>
          <w:color w:val="auto"/>
          <w:sz w:val="22"/>
          <w:szCs w:val="22"/>
        </w:rPr>
        <w:t xml:space="preserve"> </w:t>
      </w:r>
      <w:r w:rsidR="00C21708">
        <w:rPr>
          <w:rFonts w:ascii="Calibri" w:hAnsi="Calibri" w:cs="Calibri"/>
          <w:color w:val="auto"/>
          <w:sz w:val="22"/>
          <w:szCs w:val="22"/>
        </w:rPr>
        <w:t xml:space="preserve">programme (learner success) </w:t>
      </w:r>
      <w:r w:rsidR="006C021B">
        <w:rPr>
          <w:rFonts w:ascii="Calibri" w:hAnsi="Calibri" w:cs="Calibri"/>
          <w:color w:val="auto"/>
          <w:sz w:val="22"/>
          <w:szCs w:val="22"/>
        </w:rPr>
        <w:t xml:space="preserve">and </w:t>
      </w:r>
      <w:proofErr w:type="spellStart"/>
      <w:r w:rsidR="006C021B">
        <w:rPr>
          <w:rFonts w:ascii="Calibri" w:hAnsi="Calibri" w:cs="Calibri"/>
          <w:color w:val="auto"/>
          <w:sz w:val="22"/>
          <w:szCs w:val="22"/>
        </w:rPr>
        <w:t>Te</w:t>
      </w:r>
      <w:proofErr w:type="spellEnd"/>
      <w:r w:rsidR="006C021B">
        <w:rPr>
          <w:rFonts w:ascii="Calibri" w:hAnsi="Calibri" w:cs="Calibri"/>
          <w:color w:val="auto"/>
          <w:sz w:val="22"/>
          <w:szCs w:val="22"/>
        </w:rPr>
        <w:t xml:space="preserve"> Aurei</w:t>
      </w:r>
      <w:r w:rsidR="00C21708">
        <w:rPr>
          <w:rFonts w:ascii="Calibri" w:hAnsi="Calibri" w:cs="Calibri"/>
          <w:color w:val="auto"/>
          <w:sz w:val="22"/>
          <w:szCs w:val="22"/>
        </w:rPr>
        <w:t xml:space="preserve"> programme (transforming the University into an antiracist and inclusive institution)</w:t>
      </w:r>
      <w:r w:rsidR="006C021B">
        <w:rPr>
          <w:rFonts w:ascii="Calibri" w:hAnsi="Calibri" w:cs="Calibri"/>
          <w:color w:val="auto"/>
          <w:sz w:val="22"/>
          <w:szCs w:val="22"/>
        </w:rPr>
        <w:t xml:space="preserve"> – that will work in parallel with the Disability Action Plan to improve outcomes for </w:t>
      </w:r>
      <w:r w:rsidR="000A3259">
        <w:rPr>
          <w:rFonts w:ascii="Calibri" w:hAnsi="Calibri" w:cs="Calibri"/>
          <w:color w:val="auto"/>
          <w:sz w:val="22"/>
          <w:szCs w:val="22"/>
        </w:rPr>
        <w:t>disabled students.</w:t>
      </w:r>
    </w:p>
    <w:p w14:paraId="4D96EBEE" w14:textId="77777777" w:rsidR="0037768F" w:rsidRPr="00F658E7" w:rsidRDefault="0037768F" w:rsidP="0012782C">
      <w:pPr>
        <w:pStyle w:val="Default"/>
        <w:rPr>
          <w:rFonts w:ascii="Calibri" w:hAnsi="Calibri" w:cs="Calibri"/>
          <w:color w:val="auto"/>
          <w:sz w:val="22"/>
          <w:szCs w:val="22"/>
        </w:rPr>
      </w:pPr>
    </w:p>
    <w:p w14:paraId="70980FD7" w14:textId="4C67F3BC" w:rsidR="00282EB9" w:rsidRPr="00F658E7" w:rsidRDefault="00321D99" w:rsidP="0012782C">
      <w:pPr>
        <w:pStyle w:val="Heading2"/>
        <w:spacing w:line="240" w:lineRule="auto"/>
        <w:rPr>
          <w:color w:val="auto"/>
          <w:shd w:val="clear" w:color="auto" w:fill="FFFFFF"/>
        </w:rPr>
      </w:pPr>
      <w:bookmarkStart w:id="17" w:name="_Toc120609559"/>
      <w:r w:rsidRPr="00F658E7">
        <w:rPr>
          <w:color w:val="auto"/>
          <w:shd w:val="clear" w:color="auto" w:fill="FFFFFF"/>
        </w:rPr>
        <w:t>2.1</w:t>
      </w:r>
      <w:r w:rsidR="00282EB9" w:rsidRPr="00F658E7">
        <w:rPr>
          <w:color w:val="auto"/>
          <w:shd w:val="clear" w:color="auto" w:fill="FFFFFF"/>
        </w:rPr>
        <w:t xml:space="preserve"> Accessibility Services</w:t>
      </w:r>
      <w:bookmarkEnd w:id="17"/>
    </w:p>
    <w:p w14:paraId="14A4A4A4" w14:textId="61E82787" w:rsidR="00282EB9" w:rsidRPr="00F658E7" w:rsidRDefault="00282EB9" w:rsidP="0012782C">
      <w:pPr>
        <w:pStyle w:val="NormalWeb"/>
        <w:shd w:val="clear" w:color="auto" w:fill="FFFFFF"/>
        <w:spacing w:before="0" w:beforeAutospacing="0" w:after="0" w:afterAutospacing="0"/>
        <w:rPr>
          <w:rFonts w:ascii="Calibri" w:hAnsi="Calibri" w:cs="Calibri"/>
          <w:sz w:val="22"/>
          <w:szCs w:val="22"/>
        </w:rPr>
      </w:pPr>
      <w:r w:rsidRPr="00665B84">
        <w:rPr>
          <w:rFonts w:ascii="Calibri" w:hAnsi="Calibri" w:cs="Calibri"/>
          <w:sz w:val="22"/>
          <w:szCs w:val="22"/>
        </w:rPr>
        <w:t>The University of Waikato Accessibility Services provide advice, support, and services for students with a variety of impairments, disabilities and medica</w:t>
      </w:r>
      <w:r w:rsidRPr="00F22E21">
        <w:rPr>
          <w:rFonts w:ascii="Calibri" w:hAnsi="Calibri" w:cs="Calibri"/>
          <w:sz w:val="22"/>
          <w:szCs w:val="22"/>
        </w:rPr>
        <w:t>l conditions (</w:t>
      </w:r>
      <w:hyperlink r:id="rId16" w:history="1">
        <w:r w:rsidRPr="00F658E7">
          <w:rPr>
            <w:rStyle w:val="Hyperlink"/>
            <w:rFonts w:ascii="Calibri" w:hAnsi="Calibri" w:cs="Calibri"/>
            <w:color w:val="auto"/>
            <w:sz w:val="22"/>
            <w:szCs w:val="22"/>
          </w:rPr>
          <w:t>https://www.waikato.ac.nz/students/accessibility-services</w:t>
        </w:r>
      </w:hyperlink>
      <w:r w:rsidRPr="00665B84">
        <w:rPr>
          <w:rFonts w:ascii="Calibri" w:hAnsi="Calibri" w:cs="Calibri"/>
          <w:sz w:val="22"/>
          <w:szCs w:val="22"/>
        </w:rPr>
        <w:t xml:space="preserve">). The core values </w:t>
      </w:r>
      <w:r w:rsidR="009F4533" w:rsidRPr="00665B84">
        <w:rPr>
          <w:rFonts w:ascii="Calibri" w:hAnsi="Calibri" w:cs="Calibri"/>
          <w:sz w:val="22"/>
          <w:szCs w:val="22"/>
        </w:rPr>
        <w:t xml:space="preserve">of the Service </w:t>
      </w:r>
      <w:r w:rsidRPr="00F22E21">
        <w:rPr>
          <w:rFonts w:ascii="Calibri" w:hAnsi="Calibri" w:cs="Calibri"/>
          <w:sz w:val="22"/>
          <w:szCs w:val="22"/>
        </w:rPr>
        <w:t xml:space="preserve">are </w:t>
      </w:r>
      <w:r w:rsidRPr="00F658E7">
        <w:rPr>
          <w:rFonts w:ascii="Calibri" w:hAnsi="Calibri" w:cs="Calibri"/>
          <w:sz w:val="22"/>
          <w:szCs w:val="22"/>
        </w:rPr>
        <w:t>empowerment, collaboration, professionalism, accessibility and diversity.</w:t>
      </w:r>
      <w:r w:rsidRPr="00665B84">
        <w:rPr>
          <w:rFonts w:ascii="Calibri" w:hAnsi="Calibri" w:cs="Calibri"/>
          <w:sz w:val="22"/>
          <w:szCs w:val="22"/>
        </w:rPr>
        <w:t xml:space="preserve"> </w:t>
      </w:r>
      <w:r w:rsidRPr="00F658E7">
        <w:rPr>
          <w:rFonts w:ascii="Calibri" w:hAnsi="Calibri" w:cs="Calibri"/>
          <w:sz w:val="22"/>
          <w:szCs w:val="22"/>
          <w:shd w:val="clear" w:color="auto" w:fill="FFFFFF"/>
        </w:rPr>
        <w:t xml:space="preserve">Although registration is welcome at any time, all students </w:t>
      </w:r>
      <w:r w:rsidR="000A3259">
        <w:rPr>
          <w:rFonts w:ascii="Calibri" w:hAnsi="Calibri" w:cs="Calibri"/>
          <w:sz w:val="22"/>
          <w:szCs w:val="22"/>
          <w:shd w:val="clear" w:color="auto" w:fill="FFFFFF"/>
        </w:rPr>
        <w:t xml:space="preserve">who identify as having a disability, </w:t>
      </w:r>
      <w:r w:rsidRPr="00F658E7">
        <w:rPr>
          <w:rFonts w:ascii="Calibri" w:hAnsi="Calibri" w:cs="Calibri"/>
          <w:sz w:val="22"/>
          <w:szCs w:val="22"/>
          <w:shd w:val="clear" w:color="auto" w:fill="FFFFFF"/>
        </w:rPr>
        <w:t xml:space="preserve">impairments or support needs are encouraged to register with Accessibility Services before coming to University or very early in their studies. This helps to ensure that the right supports can be met. </w:t>
      </w:r>
      <w:r w:rsidRPr="00F658E7">
        <w:rPr>
          <w:rFonts w:ascii="Calibri" w:hAnsi="Calibri" w:cs="Calibri"/>
          <w:sz w:val="22"/>
          <w:szCs w:val="22"/>
        </w:rPr>
        <w:t>Accessibility Services support</w:t>
      </w:r>
      <w:r w:rsidR="00DA2729" w:rsidRPr="00F658E7">
        <w:rPr>
          <w:rFonts w:ascii="Calibri" w:hAnsi="Calibri" w:cs="Calibri"/>
          <w:sz w:val="22"/>
          <w:szCs w:val="22"/>
        </w:rPr>
        <w:t xml:space="preserve"> disabled students with</w:t>
      </w:r>
      <w:r w:rsidRPr="00F658E7">
        <w:rPr>
          <w:rFonts w:ascii="Calibri" w:hAnsi="Calibri" w:cs="Calibri"/>
          <w:sz w:val="22"/>
          <w:szCs w:val="22"/>
        </w:rPr>
        <w:t xml:space="preserve"> long-term, short-term and temporary </w:t>
      </w:r>
      <w:r w:rsidR="00DA2729" w:rsidRPr="00F658E7">
        <w:rPr>
          <w:rFonts w:ascii="Calibri" w:hAnsi="Calibri" w:cs="Calibri"/>
          <w:sz w:val="22"/>
          <w:szCs w:val="22"/>
        </w:rPr>
        <w:t xml:space="preserve">experiences of disability </w:t>
      </w:r>
      <w:r w:rsidRPr="00F658E7">
        <w:rPr>
          <w:rFonts w:ascii="Calibri" w:hAnsi="Calibri" w:cs="Calibri"/>
          <w:sz w:val="22"/>
          <w:szCs w:val="22"/>
        </w:rPr>
        <w:t>including, but not limited to</w:t>
      </w:r>
      <w:r w:rsidR="00DA2729" w:rsidRPr="00F658E7">
        <w:rPr>
          <w:rFonts w:ascii="Calibri" w:hAnsi="Calibri" w:cs="Calibri"/>
          <w:sz w:val="22"/>
          <w:szCs w:val="22"/>
        </w:rPr>
        <w:t xml:space="preserve"> the experiences</w:t>
      </w:r>
      <w:r w:rsidR="000A3259">
        <w:rPr>
          <w:rFonts w:ascii="Calibri" w:hAnsi="Calibri" w:cs="Calibri"/>
          <w:sz w:val="22"/>
          <w:szCs w:val="22"/>
        </w:rPr>
        <w:t xml:space="preserve"> related to impairments and health issues</w:t>
      </w:r>
      <w:r w:rsidR="00DA2729" w:rsidRPr="00F658E7">
        <w:rPr>
          <w:rFonts w:ascii="Calibri" w:hAnsi="Calibri" w:cs="Calibri"/>
          <w:sz w:val="22"/>
          <w:szCs w:val="22"/>
        </w:rPr>
        <w:t xml:space="preserve"> listed </w:t>
      </w:r>
      <w:proofErr w:type="gramStart"/>
      <w:r w:rsidR="00DA2729" w:rsidRPr="00F658E7">
        <w:rPr>
          <w:rFonts w:ascii="Calibri" w:hAnsi="Calibri" w:cs="Calibri"/>
          <w:sz w:val="22"/>
          <w:szCs w:val="22"/>
        </w:rPr>
        <w:t>below</w:t>
      </w:r>
      <w:r w:rsidR="000A3259">
        <w:rPr>
          <w:rFonts w:ascii="Calibri" w:hAnsi="Calibri" w:cs="Calibri"/>
          <w:sz w:val="22"/>
          <w:szCs w:val="22"/>
        </w:rPr>
        <w:t>:</w:t>
      </w:r>
      <w:r w:rsidRPr="00F658E7">
        <w:rPr>
          <w:rFonts w:ascii="Calibri" w:hAnsi="Calibri" w:cs="Calibri"/>
          <w:sz w:val="22"/>
          <w:szCs w:val="22"/>
        </w:rPr>
        <w:t>:</w:t>
      </w:r>
      <w:proofErr w:type="gramEnd"/>
    </w:p>
    <w:p w14:paraId="0B4CF309" w14:textId="01C0D882" w:rsidR="00282EB9" w:rsidRPr="00F658E7" w:rsidRDefault="00CC6788" w:rsidP="0012782C">
      <w:pPr>
        <w:numPr>
          <w:ilvl w:val="0"/>
          <w:numId w:val="2"/>
        </w:numPr>
        <w:shd w:val="clear" w:color="auto" w:fill="FFFFFF"/>
        <w:spacing w:after="0" w:line="240" w:lineRule="auto"/>
        <w:rPr>
          <w:rFonts w:ascii="Calibri" w:eastAsia="Times New Roman" w:hAnsi="Calibri" w:cs="Calibri"/>
        </w:rPr>
      </w:pPr>
      <w:r w:rsidRPr="00F658E7">
        <w:rPr>
          <w:rFonts w:ascii="Calibri" w:eastAsia="Times New Roman" w:hAnsi="Calibri" w:cs="Calibri"/>
        </w:rPr>
        <w:t>s</w:t>
      </w:r>
      <w:r w:rsidR="00282EB9" w:rsidRPr="00F658E7">
        <w:rPr>
          <w:rFonts w:ascii="Calibri" w:eastAsia="Times New Roman" w:hAnsi="Calibri" w:cs="Calibri"/>
        </w:rPr>
        <w:t xml:space="preserve">ensory impairment – </w:t>
      </w:r>
      <w:r w:rsidR="008B3BFC" w:rsidRPr="00F658E7">
        <w:rPr>
          <w:rFonts w:ascii="Calibri" w:eastAsia="Times New Roman" w:hAnsi="Calibri" w:cs="Calibri"/>
        </w:rPr>
        <w:t>v</w:t>
      </w:r>
      <w:r w:rsidR="00282EB9" w:rsidRPr="00F658E7">
        <w:rPr>
          <w:rFonts w:ascii="Calibri" w:eastAsia="Times New Roman" w:hAnsi="Calibri" w:cs="Calibri"/>
        </w:rPr>
        <w:t>ision, hearing</w:t>
      </w:r>
    </w:p>
    <w:p w14:paraId="22145060" w14:textId="22A28F2F" w:rsidR="00282EB9" w:rsidRPr="00F658E7" w:rsidRDefault="00CC6788" w:rsidP="0012782C">
      <w:pPr>
        <w:numPr>
          <w:ilvl w:val="0"/>
          <w:numId w:val="2"/>
        </w:numPr>
        <w:shd w:val="clear" w:color="auto" w:fill="FFFFFF"/>
        <w:spacing w:after="0" w:line="240" w:lineRule="auto"/>
        <w:rPr>
          <w:rFonts w:ascii="Calibri" w:eastAsia="Times New Roman" w:hAnsi="Calibri" w:cs="Calibri"/>
        </w:rPr>
      </w:pPr>
      <w:r w:rsidRPr="00F658E7">
        <w:rPr>
          <w:rFonts w:ascii="Calibri" w:eastAsia="Times New Roman" w:hAnsi="Calibri" w:cs="Calibri"/>
        </w:rPr>
        <w:t>p</w:t>
      </w:r>
      <w:r w:rsidR="00282EB9" w:rsidRPr="00F658E7">
        <w:rPr>
          <w:rFonts w:ascii="Calibri" w:eastAsia="Times New Roman" w:hAnsi="Calibri" w:cs="Calibri"/>
        </w:rPr>
        <w:t xml:space="preserve">hysical impairment – </w:t>
      </w:r>
      <w:r w:rsidR="008B3BFC" w:rsidRPr="00F658E7">
        <w:rPr>
          <w:rFonts w:ascii="Calibri" w:eastAsia="Times New Roman" w:hAnsi="Calibri" w:cs="Calibri"/>
        </w:rPr>
        <w:t>h</w:t>
      </w:r>
      <w:r w:rsidR="00282EB9" w:rsidRPr="00F658E7">
        <w:rPr>
          <w:rFonts w:ascii="Calibri" w:eastAsia="Times New Roman" w:hAnsi="Calibri" w:cs="Calibri"/>
        </w:rPr>
        <w:t>ead injury, mobility, speech</w:t>
      </w:r>
    </w:p>
    <w:p w14:paraId="005C3DE2" w14:textId="25546390" w:rsidR="00282EB9" w:rsidRPr="00F658E7" w:rsidRDefault="0030125A" w:rsidP="0012782C">
      <w:pPr>
        <w:numPr>
          <w:ilvl w:val="0"/>
          <w:numId w:val="2"/>
        </w:numPr>
        <w:shd w:val="clear" w:color="auto" w:fill="FFFFFF"/>
        <w:spacing w:after="0" w:line="240" w:lineRule="auto"/>
        <w:rPr>
          <w:rFonts w:ascii="Calibri" w:eastAsia="Times New Roman" w:hAnsi="Calibri" w:cs="Calibri"/>
        </w:rPr>
      </w:pPr>
      <w:r w:rsidRPr="00F658E7">
        <w:rPr>
          <w:rFonts w:ascii="Calibri" w:eastAsia="Times New Roman" w:hAnsi="Calibri" w:cs="Calibri"/>
        </w:rPr>
        <w:t>neurodiversity</w:t>
      </w:r>
      <w:r w:rsidR="00DA2729" w:rsidRPr="00F658E7">
        <w:rPr>
          <w:rFonts w:ascii="Calibri" w:eastAsia="Times New Roman" w:hAnsi="Calibri" w:cs="Calibri"/>
        </w:rPr>
        <w:t xml:space="preserve"> </w:t>
      </w:r>
      <w:r w:rsidR="00282EB9" w:rsidRPr="00F658E7">
        <w:rPr>
          <w:rFonts w:ascii="Calibri" w:eastAsia="Times New Roman" w:hAnsi="Calibri" w:cs="Calibri"/>
        </w:rPr>
        <w:t xml:space="preserve">– </w:t>
      </w:r>
      <w:r w:rsidR="008B3BFC" w:rsidRPr="00F658E7">
        <w:rPr>
          <w:rFonts w:ascii="Calibri" w:eastAsia="Times New Roman" w:hAnsi="Calibri" w:cs="Calibri"/>
        </w:rPr>
        <w:t>d</w:t>
      </w:r>
      <w:r w:rsidR="00282EB9" w:rsidRPr="00F658E7">
        <w:rPr>
          <w:rFonts w:ascii="Calibri" w:eastAsia="Times New Roman" w:hAnsi="Calibri" w:cs="Calibri"/>
        </w:rPr>
        <w:t xml:space="preserve">yslexia, dyscalculia, </w:t>
      </w:r>
      <w:r w:rsidR="00DA2729" w:rsidRPr="00F658E7">
        <w:rPr>
          <w:rFonts w:ascii="Calibri" w:eastAsia="Times New Roman" w:hAnsi="Calibri" w:cs="Calibri"/>
        </w:rPr>
        <w:t>ADHD</w:t>
      </w:r>
      <w:r w:rsidR="00282EB9" w:rsidRPr="00F658E7">
        <w:rPr>
          <w:rFonts w:ascii="Calibri" w:eastAsia="Times New Roman" w:hAnsi="Calibri" w:cs="Calibri"/>
        </w:rPr>
        <w:t xml:space="preserve"> and Autism Spectrum Disorder</w:t>
      </w:r>
    </w:p>
    <w:p w14:paraId="6DBEB3C2" w14:textId="4E5A4BBE" w:rsidR="00282EB9" w:rsidRPr="00F658E7" w:rsidRDefault="00CC6788" w:rsidP="0012782C">
      <w:pPr>
        <w:numPr>
          <w:ilvl w:val="0"/>
          <w:numId w:val="2"/>
        </w:numPr>
        <w:shd w:val="clear" w:color="auto" w:fill="FFFFFF"/>
        <w:spacing w:after="0" w:line="240" w:lineRule="auto"/>
        <w:rPr>
          <w:rFonts w:ascii="Calibri" w:eastAsia="Times New Roman" w:hAnsi="Calibri" w:cs="Calibri"/>
        </w:rPr>
      </w:pPr>
      <w:r w:rsidRPr="00F658E7">
        <w:rPr>
          <w:rFonts w:ascii="Calibri" w:eastAsia="Times New Roman" w:hAnsi="Calibri" w:cs="Calibri"/>
        </w:rPr>
        <w:t>m</w:t>
      </w:r>
      <w:r w:rsidR="00282EB9" w:rsidRPr="00F658E7">
        <w:rPr>
          <w:rFonts w:ascii="Calibri" w:eastAsia="Times New Roman" w:hAnsi="Calibri" w:cs="Calibri"/>
        </w:rPr>
        <w:t xml:space="preserve">ental health – </w:t>
      </w:r>
      <w:r w:rsidR="008B3BFC" w:rsidRPr="00F658E7">
        <w:rPr>
          <w:rFonts w:ascii="Calibri" w:eastAsia="Times New Roman" w:hAnsi="Calibri" w:cs="Calibri"/>
        </w:rPr>
        <w:t>a</w:t>
      </w:r>
      <w:r w:rsidR="00282EB9" w:rsidRPr="00F658E7">
        <w:rPr>
          <w:rFonts w:ascii="Calibri" w:eastAsia="Times New Roman" w:hAnsi="Calibri" w:cs="Calibri"/>
        </w:rPr>
        <w:t>nxiety, depression, Schizophrenia, Bipolar</w:t>
      </w:r>
    </w:p>
    <w:p w14:paraId="4802FD35" w14:textId="743B2C10" w:rsidR="00282EB9" w:rsidRPr="00F658E7" w:rsidRDefault="00CC6788" w:rsidP="0012782C">
      <w:pPr>
        <w:numPr>
          <w:ilvl w:val="0"/>
          <w:numId w:val="2"/>
        </w:numPr>
        <w:shd w:val="clear" w:color="auto" w:fill="FFFFFF"/>
        <w:spacing w:after="0" w:line="240" w:lineRule="auto"/>
        <w:rPr>
          <w:rFonts w:ascii="Calibri" w:eastAsia="Times New Roman" w:hAnsi="Calibri" w:cs="Calibri"/>
        </w:rPr>
      </w:pPr>
      <w:r w:rsidRPr="00F658E7">
        <w:rPr>
          <w:rFonts w:ascii="Calibri" w:eastAsia="Times New Roman" w:hAnsi="Calibri" w:cs="Calibri"/>
        </w:rPr>
        <w:t>t</w:t>
      </w:r>
      <w:r w:rsidR="00282EB9" w:rsidRPr="00F658E7">
        <w:rPr>
          <w:rFonts w:ascii="Calibri" w:eastAsia="Times New Roman" w:hAnsi="Calibri" w:cs="Calibri"/>
        </w:rPr>
        <w:t xml:space="preserve">emporary impairment – </w:t>
      </w:r>
      <w:r w:rsidR="008B3BFC" w:rsidRPr="00F658E7">
        <w:rPr>
          <w:rFonts w:ascii="Calibri" w:eastAsia="Times New Roman" w:hAnsi="Calibri" w:cs="Calibri"/>
        </w:rPr>
        <w:t>i</w:t>
      </w:r>
      <w:r w:rsidR="00282EB9" w:rsidRPr="00F658E7">
        <w:rPr>
          <w:rFonts w:ascii="Calibri" w:eastAsia="Times New Roman" w:hAnsi="Calibri" w:cs="Calibri"/>
        </w:rPr>
        <w:t>njuries, Occupational Overuse Syndrome</w:t>
      </w:r>
    </w:p>
    <w:p w14:paraId="35B8B97D" w14:textId="77777777" w:rsidR="00282EB9" w:rsidRPr="00F658E7" w:rsidRDefault="00282EB9" w:rsidP="0012782C">
      <w:pPr>
        <w:pStyle w:val="Default"/>
        <w:rPr>
          <w:rFonts w:ascii="Calibri" w:hAnsi="Calibri" w:cs="Calibri"/>
          <w:color w:val="auto"/>
          <w:sz w:val="22"/>
          <w:szCs w:val="22"/>
          <w:shd w:val="clear" w:color="auto" w:fill="FFFFFF"/>
        </w:rPr>
      </w:pPr>
    </w:p>
    <w:p w14:paraId="0AB0C515" w14:textId="467DB43F" w:rsidR="00282EB9" w:rsidRPr="00F658E7" w:rsidRDefault="00282EB9" w:rsidP="0012782C">
      <w:pPr>
        <w:pStyle w:val="Default"/>
        <w:rPr>
          <w:rFonts w:ascii="Calibri" w:hAnsi="Calibri" w:cs="Calibri"/>
          <w:color w:val="auto"/>
          <w:sz w:val="22"/>
          <w:szCs w:val="22"/>
          <w:shd w:val="clear" w:color="auto" w:fill="FFFFFF"/>
        </w:rPr>
      </w:pPr>
      <w:r w:rsidRPr="00F658E7">
        <w:rPr>
          <w:rFonts w:ascii="Calibri" w:hAnsi="Calibri" w:cs="Calibri"/>
          <w:color w:val="auto"/>
          <w:sz w:val="22"/>
          <w:szCs w:val="22"/>
          <w:shd w:val="clear" w:color="auto" w:fill="FFFFFF"/>
        </w:rPr>
        <w:t xml:space="preserve">Alongside a range of other support services available </w:t>
      </w:r>
      <w:r w:rsidR="00DA2729" w:rsidRPr="00F658E7">
        <w:rPr>
          <w:rFonts w:ascii="Calibri" w:hAnsi="Calibri" w:cs="Calibri"/>
          <w:color w:val="auto"/>
          <w:sz w:val="22"/>
          <w:szCs w:val="22"/>
          <w:shd w:val="clear" w:color="auto" w:fill="FFFFFF"/>
        </w:rPr>
        <w:t xml:space="preserve">to students including the </w:t>
      </w:r>
      <w:r w:rsidR="00FC211C" w:rsidRPr="00F658E7">
        <w:rPr>
          <w:rFonts w:ascii="Calibri" w:hAnsi="Calibri" w:cs="Calibri"/>
          <w:color w:val="auto"/>
          <w:sz w:val="22"/>
          <w:szCs w:val="22"/>
          <w:shd w:val="clear" w:color="auto" w:fill="FFFFFF"/>
        </w:rPr>
        <w:t xml:space="preserve">Student </w:t>
      </w:r>
      <w:r w:rsidR="001F4E43" w:rsidRPr="00F658E7">
        <w:rPr>
          <w:rFonts w:ascii="Calibri" w:hAnsi="Calibri" w:cs="Calibri"/>
          <w:color w:val="auto"/>
          <w:sz w:val="22"/>
          <w:szCs w:val="22"/>
          <w:shd w:val="clear" w:color="auto" w:fill="FFFFFF"/>
        </w:rPr>
        <w:t>H</w:t>
      </w:r>
      <w:r w:rsidR="00DA2729" w:rsidRPr="00F658E7">
        <w:rPr>
          <w:rFonts w:ascii="Calibri" w:hAnsi="Calibri" w:cs="Calibri"/>
          <w:color w:val="auto"/>
          <w:sz w:val="22"/>
          <w:szCs w:val="22"/>
          <w:shd w:val="clear" w:color="auto" w:fill="FFFFFF"/>
        </w:rPr>
        <w:t xml:space="preserve">ealth </w:t>
      </w:r>
      <w:r w:rsidR="001F4E43" w:rsidRPr="00F658E7">
        <w:rPr>
          <w:rFonts w:ascii="Calibri" w:hAnsi="Calibri" w:cs="Calibri"/>
          <w:color w:val="auto"/>
          <w:sz w:val="22"/>
          <w:szCs w:val="22"/>
          <w:shd w:val="clear" w:color="auto" w:fill="FFFFFF"/>
        </w:rPr>
        <w:t>S</w:t>
      </w:r>
      <w:r w:rsidR="00DA2729" w:rsidRPr="00F658E7">
        <w:rPr>
          <w:rFonts w:ascii="Calibri" w:hAnsi="Calibri" w:cs="Calibri"/>
          <w:color w:val="auto"/>
          <w:sz w:val="22"/>
          <w:szCs w:val="22"/>
          <w:shd w:val="clear" w:color="auto" w:fill="FFFFFF"/>
        </w:rPr>
        <w:t xml:space="preserve">ervice, Student </w:t>
      </w:r>
      <w:r w:rsidR="001F4E43" w:rsidRPr="00F658E7">
        <w:rPr>
          <w:rFonts w:ascii="Calibri" w:hAnsi="Calibri" w:cs="Calibri"/>
          <w:color w:val="auto"/>
          <w:sz w:val="22"/>
          <w:szCs w:val="22"/>
          <w:shd w:val="clear" w:color="auto" w:fill="FFFFFF"/>
        </w:rPr>
        <w:t>L</w:t>
      </w:r>
      <w:r w:rsidR="00DA2729" w:rsidRPr="00F658E7">
        <w:rPr>
          <w:rFonts w:ascii="Calibri" w:hAnsi="Calibri" w:cs="Calibri"/>
          <w:color w:val="auto"/>
          <w:sz w:val="22"/>
          <w:szCs w:val="22"/>
          <w:shd w:val="clear" w:color="auto" w:fill="FFFFFF"/>
        </w:rPr>
        <w:t>earning</w:t>
      </w:r>
      <w:r w:rsidR="00FC211C" w:rsidRPr="00F658E7">
        <w:rPr>
          <w:rFonts w:ascii="Calibri" w:hAnsi="Calibri" w:cs="Calibri"/>
          <w:color w:val="auto"/>
          <w:sz w:val="22"/>
          <w:szCs w:val="22"/>
          <w:shd w:val="clear" w:color="auto" w:fill="FFFFFF"/>
        </w:rPr>
        <w:t xml:space="preserve"> </w:t>
      </w:r>
      <w:r w:rsidR="001F4E43" w:rsidRPr="00F658E7">
        <w:rPr>
          <w:rFonts w:ascii="Calibri" w:hAnsi="Calibri" w:cs="Calibri"/>
          <w:color w:val="auto"/>
          <w:sz w:val="22"/>
          <w:szCs w:val="22"/>
          <w:shd w:val="clear" w:color="auto" w:fill="FFFFFF"/>
        </w:rPr>
        <w:t>S</w:t>
      </w:r>
      <w:r w:rsidR="00FC211C" w:rsidRPr="00F658E7">
        <w:rPr>
          <w:rFonts w:ascii="Calibri" w:hAnsi="Calibri" w:cs="Calibri"/>
          <w:color w:val="auto"/>
          <w:sz w:val="22"/>
          <w:szCs w:val="22"/>
          <w:shd w:val="clear" w:color="auto" w:fill="FFFFFF"/>
        </w:rPr>
        <w:t>ervices</w:t>
      </w:r>
      <w:r w:rsidRPr="00F658E7">
        <w:rPr>
          <w:rFonts w:ascii="Calibri" w:hAnsi="Calibri" w:cs="Calibri"/>
          <w:color w:val="auto"/>
          <w:sz w:val="22"/>
          <w:szCs w:val="22"/>
          <w:shd w:val="clear" w:color="auto" w:fill="FFFFFF"/>
        </w:rPr>
        <w:t xml:space="preserve">, Accessibility Services aims to form part of student’s education support network, helping to make their university experience as successful and rewarding as possible. </w:t>
      </w:r>
      <w:r w:rsidR="00E168C2" w:rsidRPr="00F658E7">
        <w:rPr>
          <w:rFonts w:ascii="Calibri" w:hAnsi="Calibri" w:cs="Calibri"/>
          <w:color w:val="auto"/>
          <w:sz w:val="22"/>
          <w:szCs w:val="22"/>
          <w:shd w:val="clear" w:color="auto" w:fill="FFFFFF"/>
        </w:rPr>
        <w:t xml:space="preserve">Section 1.1.4 refers to the data from Accessibility services and reports on </w:t>
      </w:r>
      <w:r w:rsidR="009F4533" w:rsidRPr="00F658E7">
        <w:rPr>
          <w:rFonts w:ascii="Calibri" w:hAnsi="Calibri" w:cs="Calibri"/>
          <w:color w:val="auto"/>
          <w:sz w:val="22"/>
          <w:szCs w:val="22"/>
          <w:shd w:val="clear" w:color="auto" w:fill="FFFFFF"/>
        </w:rPr>
        <w:t>the service</w:t>
      </w:r>
      <w:r w:rsidR="00E168C2" w:rsidRPr="00F658E7">
        <w:rPr>
          <w:rFonts w:ascii="Calibri" w:hAnsi="Calibri" w:cs="Calibri"/>
          <w:color w:val="auto"/>
          <w:sz w:val="22"/>
          <w:szCs w:val="22"/>
          <w:shd w:val="clear" w:color="auto" w:fill="FFFFFF"/>
        </w:rPr>
        <w:t xml:space="preserve"> types offered which include</w:t>
      </w:r>
      <w:r w:rsidRPr="00F658E7">
        <w:rPr>
          <w:rFonts w:ascii="Calibri" w:hAnsi="Calibri" w:cs="Calibri"/>
          <w:color w:val="auto"/>
          <w:sz w:val="22"/>
          <w:szCs w:val="22"/>
          <w:shd w:val="clear" w:color="auto" w:fill="FFFFFF"/>
        </w:rPr>
        <w:t xml:space="preserve"> note taking support, providing New Zealand sign language interpreters, making resource material available in alternative formats, arranging alternative test and exam arrangement</w:t>
      </w:r>
      <w:r w:rsidR="00FC211C" w:rsidRPr="00F658E7">
        <w:rPr>
          <w:rFonts w:ascii="Calibri" w:hAnsi="Calibri" w:cs="Calibri"/>
          <w:color w:val="auto"/>
          <w:sz w:val="22"/>
          <w:szCs w:val="22"/>
          <w:shd w:val="clear" w:color="auto" w:fill="FFFFFF"/>
        </w:rPr>
        <w:t xml:space="preserve"> and</w:t>
      </w:r>
      <w:r w:rsidRPr="00F658E7">
        <w:rPr>
          <w:rFonts w:ascii="Calibri" w:hAnsi="Calibri" w:cs="Calibri"/>
          <w:color w:val="auto"/>
          <w:sz w:val="22"/>
          <w:szCs w:val="22"/>
          <w:shd w:val="clear" w:color="auto" w:fill="FFFFFF"/>
        </w:rPr>
        <w:t xml:space="preserve"> providing access to technology liaison staff to assist the development and use of technologies that support independent learning for students with impairments.</w:t>
      </w:r>
    </w:p>
    <w:p w14:paraId="015A422D" w14:textId="6EC2EB0C" w:rsidR="00E168C2" w:rsidRPr="00F658E7" w:rsidRDefault="00E168C2" w:rsidP="0012782C">
      <w:pPr>
        <w:pStyle w:val="Default"/>
        <w:rPr>
          <w:rFonts w:ascii="Calibri" w:hAnsi="Calibri" w:cs="Calibri"/>
          <w:color w:val="auto"/>
          <w:sz w:val="22"/>
          <w:szCs w:val="22"/>
          <w:shd w:val="clear" w:color="auto" w:fill="FFFFFF"/>
        </w:rPr>
      </w:pPr>
    </w:p>
    <w:p w14:paraId="10D5D0E9" w14:textId="342D033C" w:rsidR="00E168C2" w:rsidRPr="00D910F0" w:rsidRDefault="00E168C2" w:rsidP="0012782C">
      <w:pPr>
        <w:spacing w:line="240" w:lineRule="auto"/>
      </w:pPr>
      <w:r w:rsidRPr="00F658E7">
        <w:rPr>
          <w:rFonts w:ascii="Calibri" w:hAnsi="Calibri" w:cs="Calibri"/>
          <w:shd w:val="clear" w:color="auto" w:fill="FFFFFF"/>
        </w:rPr>
        <w:t xml:space="preserve">Accessibility </w:t>
      </w:r>
      <w:r w:rsidR="001F4E43" w:rsidRPr="00F658E7">
        <w:rPr>
          <w:rFonts w:ascii="Calibri" w:hAnsi="Calibri" w:cs="Calibri"/>
          <w:shd w:val="clear" w:color="auto" w:fill="FFFFFF"/>
        </w:rPr>
        <w:t>S</w:t>
      </w:r>
      <w:r w:rsidRPr="00F658E7">
        <w:rPr>
          <w:rFonts w:ascii="Calibri" w:hAnsi="Calibri" w:cs="Calibri"/>
          <w:shd w:val="clear" w:color="auto" w:fill="FFFFFF"/>
        </w:rPr>
        <w:t>ervices</w:t>
      </w:r>
      <w:r w:rsidR="00682E0B" w:rsidRPr="00F658E7">
        <w:rPr>
          <w:rFonts w:ascii="Calibri" w:hAnsi="Calibri" w:cs="Calibri"/>
          <w:shd w:val="clear" w:color="auto" w:fill="FFFFFF"/>
        </w:rPr>
        <w:t xml:space="preserve">, </w:t>
      </w:r>
      <w:r w:rsidRPr="00665B84">
        <w:t>while being the core provider of additional supports and services (adaptations and developing accommodations) for individual students, also has a role to inform access and inclusion for all students and to co-develop with students and staff approaches that can support groups of students to participate. A current good example of this is the work Accessibility Services are doing with Student Health services and an external provider to develop a peer support and mentorship progr</w:t>
      </w:r>
      <w:r w:rsidRPr="00D910F0">
        <w:t xml:space="preserve">amme with students with ADHD. </w:t>
      </w:r>
    </w:p>
    <w:p w14:paraId="2D9D396F" w14:textId="707151D1" w:rsidR="007B385A" w:rsidRPr="00F658E7" w:rsidRDefault="007B385A" w:rsidP="0012782C">
      <w:pPr>
        <w:pStyle w:val="Heading2"/>
        <w:spacing w:line="240" w:lineRule="auto"/>
        <w:rPr>
          <w:color w:val="auto"/>
          <w:shd w:val="clear" w:color="auto" w:fill="FFFFFF"/>
        </w:rPr>
      </w:pPr>
      <w:bookmarkStart w:id="18" w:name="_Toc120609560"/>
      <w:r w:rsidRPr="00F658E7">
        <w:rPr>
          <w:color w:val="auto"/>
        </w:rPr>
        <w:t xml:space="preserve">2.2 </w:t>
      </w:r>
      <w:r w:rsidRPr="00F658E7">
        <w:rPr>
          <w:color w:val="auto"/>
          <w:shd w:val="clear" w:color="auto" w:fill="FFFFFF"/>
        </w:rPr>
        <w:t>Disabled Students’ Association</w:t>
      </w:r>
      <w:bookmarkEnd w:id="18"/>
    </w:p>
    <w:p w14:paraId="2CBA0EAB" w14:textId="4DE8B01A" w:rsidR="00282EB9" w:rsidRPr="00F658E7" w:rsidRDefault="00282EB9" w:rsidP="0012782C">
      <w:pPr>
        <w:pStyle w:val="Default"/>
        <w:rPr>
          <w:rFonts w:ascii="Calibri" w:hAnsi="Calibri" w:cs="Calibri"/>
          <w:color w:val="auto"/>
          <w:sz w:val="22"/>
          <w:szCs w:val="22"/>
          <w:shd w:val="clear" w:color="auto" w:fill="FFFFFF"/>
        </w:rPr>
      </w:pPr>
      <w:r w:rsidRPr="00F658E7">
        <w:rPr>
          <w:rFonts w:ascii="Calibri" w:hAnsi="Calibri" w:cs="Calibri"/>
          <w:color w:val="auto"/>
          <w:sz w:val="22"/>
          <w:szCs w:val="22"/>
        </w:rPr>
        <w:t xml:space="preserve">The University of Waikato Disabled Students’ Association </w:t>
      </w:r>
      <w:r w:rsidRPr="00F658E7">
        <w:rPr>
          <w:rFonts w:ascii="Calibri" w:hAnsi="Calibri" w:cs="Calibri"/>
          <w:color w:val="auto"/>
          <w:sz w:val="22"/>
          <w:szCs w:val="22"/>
          <w:shd w:val="clear" w:color="auto" w:fill="FFFFFF"/>
        </w:rPr>
        <w:t>has two main foc</w:t>
      </w:r>
      <w:r w:rsidR="000D64EC" w:rsidRPr="00F658E7">
        <w:rPr>
          <w:rFonts w:ascii="Calibri" w:hAnsi="Calibri" w:cs="Calibri"/>
          <w:color w:val="auto"/>
          <w:sz w:val="22"/>
          <w:szCs w:val="22"/>
          <w:shd w:val="clear" w:color="auto" w:fill="FFFFFF"/>
        </w:rPr>
        <w:t>i</w:t>
      </w:r>
      <w:r w:rsidRPr="00F658E7">
        <w:rPr>
          <w:rFonts w:ascii="Calibri" w:hAnsi="Calibri" w:cs="Calibri"/>
          <w:color w:val="auto"/>
          <w:sz w:val="22"/>
          <w:szCs w:val="22"/>
          <w:shd w:val="clear" w:color="auto" w:fill="FFFFFF"/>
        </w:rPr>
        <w:t xml:space="preserve"> – </w:t>
      </w:r>
      <w:r w:rsidR="000D64EC" w:rsidRPr="00F658E7">
        <w:rPr>
          <w:rFonts w:ascii="Calibri" w:hAnsi="Calibri" w:cs="Calibri"/>
          <w:color w:val="auto"/>
          <w:sz w:val="22"/>
          <w:szCs w:val="22"/>
          <w:shd w:val="clear" w:color="auto" w:fill="FFFFFF"/>
        </w:rPr>
        <w:t>a</w:t>
      </w:r>
      <w:r w:rsidRPr="00F658E7">
        <w:rPr>
          <w:rFonts w:ascii="Calibri" w:hAnsi="Calibri" w:cs="Calibri"/>
          <w:color w:val="auto"/>
          <w:sz w:val="22"/>
          <w:szCs w:val="22"/>
          <w:shd w:val="clear" w:color="auto" w:fill="FFFFFF"/>
        </w:rPr>
        <w:t xml:space="preserve">dvocacy and </w:t>
      </w:r>
      <w:r w:rsidR="000D64EC" w:rsidRPr="00F658E7">
        <w:rPr>
          <w:rFonts w:ascii="Calibri" w:hAnsi="Calibri" w:cs="Calibri"/>
          <w:color w:val="auto"/>
          <w:sz w:val="22"/>
          <w:szCs w:val="22"/>
          <w:shd w:val="clear" w:color="auto" w:fill="FFFFFF"/>
        </w:rPr>
        <w:t>c</w:t>
      </w:r>
      <w:r w:rsidRPr="00F658E7">
        <w:rPr>
          <w:rFonts w:ascii="Calibri" w:hAnsi="Calibri" w:cs="Calibri"/>
          <w:color w:val="auto"/>
          <w:sz w:val="22"/>
          <w:szCs w:val="22"/>
          <w:shd w:val="clear" w:color="auto" w:fill="FFFFFF"/>
        </w:rPr>
        <w:t xml:space="preserve">ommunity. The Association aims to create a space for students with a range of </w:t>
      </w:r>
      <w:r w:rsidR="00FC211C" w:rsidRPr="00F658E7">
        <w:rPr>
          <w:rFonts w:ascii="Calibri" w:hAnsi="Calibri" w:cs="Calibri"/>
          <w:color w:val="auto"/>
          <w:sz w:val="22"/>
          <w:szCs w:val="22"/>
          <w:shd w:val="clear" w:color="auto" w:fill="FFFFFF"/>
        </w:rPr>
        <w:t xml:space="preserve">lived experiences of </w:t>
      </w:r>
      <w:r w:rsidRPr="00F658E7">
        <w:rPr>
          <w:rFonts w:ascii="Calibri" w:hAnsi="Calibri" w:cs="Calibri"/>
          <w:color w:val="auto"/>
          <w:sz w:val="22"/>
          <w:szCs w:val="22"/>
          <w:shd w:val="clear" w:color="auto" w:fill="FFFFFF"/>
        </w:rPr>
        <w:t>disabili</w:t>
      </w:r>
      <w:r w:rsidR="00FC211C" w:rsidRPr="00F658E7">
        <w:rPr>
          <w:rFonts w:ascii="Calibri" w:hAnsi="Calibri" w:cs="Calibri"/>
          <w:color w:val="auto"/>
          <w:sz w:val="22"/>
          <w:szCs w:val="22"/>
          <w:shd w:val="clear" w:color="auto" w:fill="FFFFFF"/>
        </w:rPr>
        <w:t>ty</w:t>
      </w:r>
      <w:r w:rsidRPr="00F658E7">
        <w:rPr>
          <w:rFonts w:ascii="Calibri" w:hAnsi="Calibri" w:cs="Calibri"/>
          <w:color w:val="auto"/>
          <w:sz w:val="22"/>
          <w:szCs w:val="22"/>
          <w:shd w:val="clear" w:color="auto" w:fill="FFFFFF"/>
        </w:rPr>
        <w:t xml:space="preserve"> to come together and </w:t>
      </w:r>
      <w:r w:rsidR="00FC211C" w:rsidRPr="00F658E7">
        <w:rPr>
          <w:rFonts w:ascii="Calibri" w:hAnsi="Calibri" w:cs="Calibri"/>
          <w:color w:val="auto"/>
          <w:sz w:val="22"/>
          <w:szCs w:val="22"/>
          <w:shd w:val="clear" w:color="auto" w:fill="FFFFFF"/>
        </w:rPr>
        <w:t>to work towards their own and the broader disabled students’ positive</w:t>
      </w:r>
      <w:r w:rsidRPr="00F658E7">
        <w:rPr>
          <w:rFonts w:ascii="Calibri" w:hAnsi="Calibri" w:cs="Calibri"/>
          <w:color w:val="auto"/>
          <w:sz w:val="22"/>
          <w:szCs w:val="22"/>
          <w:shd w:val="clear" w:color="auto" w:fill="FFFFFF"/>
        </w:rPr>
        <w:t xml:space="preserve"> journey at the University. They also aim to create a space where students who have feedback for the University (whether it is to do with bullying, educational support, etc) can seek guidance in working towards a resolution. The Disabled Students’ Association is promoted through the Waikato Students’ Union (WSU) and the disabled student community.</w:t>
      </w:r>
    </w:p>
    <w:p w14:paraId="3ADCD1B5" w14:textId="371851A9" w:rsidR="00F30B8C" w:rsidRPr="00F658E7" w:rsidRDefault="00F30B8C" w:rsidP="0012782C">
      <w:pPr>
        <w:pStyle w:val="Default"/>
        <w:rPr>
          <w:rFonts w:ascii="Calibri" w:hAnsi="Calibri" w:cs="Calibri"/>
          <w:color w:val="auto"/>
          <w:sz w:val="22"/>
          <w:szCs w:val="22"/>
          <w:shd w:val="clear" w:color="auto" w:fill="FFFFFF"/>
        </w:rPr>
      </w:pPr>
    </w:p>
    <w:p w14:paraId="3B018E3F" w14:textId="4D5065DB" w:rsidR="00321D99" w:rsidRPr="00F658E7" w:rsidRDefault="00321D99" w:rsidP="0012782C">
      <w:pPr>
        <w:pStyle w:val="Heading2"/>
        <w:spacing w:line="240" w:lineRule="auto"/>
        <w:rPr>
          <w:color w:val="auto"/>
          <w:shd w:val="clear" w:color="auto" w:fill="FFFFFF"/>
        </w:rPr>
      </w:pPr>
      <w:bookmarkStart w:id="19" w:name="_Toc120609561"/>
      <w:r w:rsidRPr="00F658E7">
        <w:rPr>
          <w:color w:val="auto"/>
          <w:shd w:val="clear" w:color="auto" w:fill="FFFFFF"/>
        </w:rPr>
        <w:t>2.</w:t>
      </w:r>
      <w:r w:rsidR="007B385A" w:rsidRPr="00F658E7">
        <w:rPr>
          <w:color w:val="auto"/>
          <w:shd w:val="clear" w:color="auto" w:fill="FFFFFF"/>
        </w:rPr>
        <w:t>3</w:t>
      </w:r>
      <w:r w:rsidRPr="00F658E7">
        <w:rPr>
          <w:color w:val="auto"/>
          <w:shd w:val="clear" w:color="auto" w:fill="FFFFFF"/>
        </w:rPr>
        <w:t xml:space="preserve"> </w:t>
      </w:r>
      <w:proofErr w:type="spellStart"/>
      <w:r w:rsidRPr="00F658E7">
        <w:rPr>
          <w:color w:val="auto"/>
          <w:shd w:val="clear" w:color="auto" w:fill="FFFFFF"/>
        </w:rPr>
        <w:t>Te</w:t>
      </w:r>
      <w:proofErr w:type="spellEnd"/>
      <w:r w:rsidRPr="00F658E7">
        <w:rPr>
          <w:color w:val="auto"/>
          <w:shd w:val="clear" w:color="auto" w:fill="FFFFFF"/>
        </w:rPr>
        <w:t xml:space="preserve"> </w:t>
      </w:r>
      <w:proofErr w:type="spellStart"/>
      <w:r w:rsidRPr="00F658E7">
        <w:rPr>
          <w:color w:val="auto"/>
          <w:shd w:val="clear" w:color="auto" w:fill="FFFFFF"/>
        </w:rPr>
        <w:t>Puna</w:t>
      </w:r>
      <w:proofErr w:type="spellEnd"/>
      <w:r w:rsidRPr="00F658E7">
        <w:rPr>
          <w:color w:val="auto"/>
          <w:shd w:val="clear" w:color="auto" w:fill="FFFFFF"/>
        </w:rPr>
        <w:t xml:space="preserve"> </w:t>
      </w:r>
      <w:proofErr w:type="spellStart"/>
      <w:r w:rsidRPr="00F658E7">
        <w:rPr>
          <w:color w:val="auto"/>
          <w:shd w:val="clear" w:color="auto" w:fill="FFFFFF"/>
        </w:rPr>
        <w:t>Ako</w:t>
      </w:r>
      <w:proofErr w:type="spellEnd"/>
      <w:r w:rsidRPr="00F658E7">
        <w:rPr>
          <w:color w:val="auto"/>
          <w:shd w:val="clear" w:color="auto" w:fill="FFFFFF"/>
        </w:rPr>
        <w:t xml:space="preserve"> - Centre for Tertiary Teaching and Learning</w:t>
      </w:r>
      <w:bookmarkEnd w:id="19"/>
    </w:p>
    <w:p w14:paraId="4D5E018A" w14:textId="758DF391" w:rsidR="0020537B" w:rsidRPr="00F658E7" w:rsidRDefault="00F051C0" w:rsidP="0012782C">
      <w:pPr>
        <w:pStyle w:val="Default"/>
        <w:rPr>
          <w:rFonts w:ascii="Calibri" w:hAnsi="Calibri" w:cs="Calibri"/>
          <w:color w:val="auto"/>
          <w:sz w:val="22"/>
          <w:szCs w:val="22"/>
        </w:rPr>
      </w:pPr>
      <w:proofErr w:type="spellStart"/>
      <w:r w:rsidRPr="00F658E7">
        <w:rPr>
          <w:rFonts w:ascii="Calibri" w:hAnsi="Calibri" w:cs="Calibri"/>
          <w:color w:val="auto"/>
          <w:sz w:val="22"/>
          <w:szCs w:val="22"/>
          <w:shd w:val="clear" w:color="auto" w:fill="FFFFFF"/>
        </w:rPr>
        <w:t>Te</w:t>
      </w:r>
      <w:proofErr w:type="spellEnd"/>
      <w:r w:rsidRPr="00F658E7">
        <w:rPr>
          <w:rFonts w:ascii="Calibri" w:hAnsi="Calibri" w:cs="Calibri"/>
          <w:color w:val="auto"/>
          <w:sz w:val="22"/>
          <w:szCs w:val="22"/>
          <w:shd w:val="clear" w:color="auto" w:fill="FFFFFF"/>
        </w:rPr>
        <w:t xml:space="preserve"> </w:t>
      </w:r>
      <w:proofErr w:type="spellStart"/>
      <w:r w:rsidRPr="00F658E7">
        <w:rPr>
          <w:rFonts w:ascii="Calibri" w:hAnsi="Calibri" w:cs="Calibri"/>
          <w:color w:val="auto"/>
          <w:sz w:val="22"/>
          <w:szCs w:val="22"/>
          <w:shd w:val="clear" w:color="auto" w:fill="FFFFFF"/>
        </w:rPr>
        <w:t>Puna</w:t>
      </w:r>
      <w:proofErr w:type="spellEnd"/>
      <w:r w:rsidRPr="00F658E7">
        <w:rPr>
          <w:rFonts w:ascii="Calibri" w:hAnsi="Calibri" w:cs="Calibri"/>
          <w:color w:val="auto"/>
          <w:sz w:val="22"/>
          <w:szCs w:val="22"/>
          <w:shd w:val="clear" w:color="auto" w:fill="FFFFFF"/>
        </w:rPr>
        <w:t xml:space="preserve"> </w:t>
      </w:r>
      <w:proofErr w:type="spellStart"/>
      <w:r w:rsidRPr="00F658E7">
        <w:rPr>
          <w:rFonts w:ascii="Calibri" w:hAnsi="Calibri" w:cs="Calibri"/>
          <w:color w:val="auto"/>
          <w:sz w:val="22"/>
          <w:szCs w:val="22"/>
          <w:shd w:val="clear" w:color="auto" w:fill="FFFFFF"/>
        </w:rPr>
        <w:t>Ako</w:t>
      </w:r>
      <w:proofErr w:type="spellEnd"/>
      <w:r w:rsidR="00084245" w:rsidRPr="00F658E7">
        <w:rPr>
          <w:rFonts w:ascii="Calibri" w:hAnsi="Calibri" w:cs="Calibri"/>
          <w:color w:val="auto"/>
          <w:sz w:val="22"/>
          <w:szCs w:val="22"/>
          <w:shd w:val="clear" w:color="auto" w:fill="FFFFFF"/>
        </w:rPr>
        <w:t xml:space="preserve"> - </w:t>
      </w:r>
      <w:r w:rsidRPr="00F658E7">
        <w:rPr>
          <w:rFonts w:ascii="Calibri" w:hAnsi="Calibri" w:cs="Calibri"/>
          <w:color w:val="auto"/>
          <w:sz w:val="22"/>
          <w:szCs w:val="22"/>
          <w:shd w:val="clear" w:color="auto" w:fill="FFFFFF"/>
        </w:rPr>
        <w:t xml:space="preserve">Centre for Tertiary Teaching and Learning </w:t>
      </w:r>
      <w:r w:rsidR="00772A8C" w:rsidRPr="00F658E7">
        <w:rPr>
          <w:rFonts w:ascii="Calibri" w:hAnsi="Calibri" w:cs="Calibri"/>
          <w:color w:val="auto"/>
          <w:sz w:val="22"/>
          <w:szCs w:val="22"/>
          <w:shd w:val="clear" w:color="auto" w:fill="FFFFFF"/>
        </w:rPr>
        <w:t xml:space="preserve">has been </w:t>
      </w:r>
      <w:r w:rsidRPr="00F658E7">
        <w:rPr>
          <w:rFonts w:ascii="Calibri" w:hAnsi="Calibri" w:cs="Calibri"/>
          <w:color w:val="auto"/>
          <w:sz w:val="22"/>
          <w:szCs w:val="22"/>
          <w:shd w:val="clear" w:color="auto" w:fill="FFFFFF"/>
        </w:rPr>
        <w:t>engaging in a continuous process of reviewing and extending their resources and supports for teaching staff involved with inclusive learning</w:t>
      </w:r>
      <w:r w:rsidR="000D64EC" w:rsidRPr="00F658E7">
        <w:rPr>
          <w:rFonts w:ascii="Calibri" w:hAnsi="Calibri" w:cs="Calibri"/>
          <w:color w:val="auto"/>
          <w:sz w:val="22"/>
          <w:szCs w:val="22"/>
          <w:shd w:val="clear" w:color="auto" w:fill="FFFFFF"/>
        </w:rPr>
        <w:t xml:space="preserve"> including for disabled students</w:t>
      </w:r>
      <w:r w:rsidRPr="00F658E7">
        <w:rPr>
          <w:rFonts w:ascii="Calibri" w:hAnsi="Calibri" w:cs="Calibri"/>
          <w:color w:val="auto"/>
          <w:sz w:val="22"/>
          <w:szCs w:val="22"/>
          <w:shd w:val="clear" w:color="auto" w:fill="FFFFFF"/>
        </w:rPr>
        <w:t xml:space="preserve">. </w:t>
      </w:r>
      <w:r w:rsidR="00772A8C" w:rsidRPr="00F658E7">
        <w:rPr>
          <w:rFonts w:ascii="Calibri" w:hAnsi="Calibri" w:cs="Calibri"/>
          <w:color w:val="auto"/>
          <w:sz w:val="22"/>
          <w:szCs w:val="22"/>
          <w:shd w:val="clear" w:color="auto" w:fill="FFFFFF"/>
        </w:rPr>
        <w:t>The Centre,</w:t>
      </w:r>
      <w:r w:rsidRPr="00F658E7">
        <w:rPr>
          <w:rFonts w:ascii="Calibri" w:hAnsi="Calibri" w:cs="Calibri"/>
          <w:color w:val="auto"/>
          <w:sz w:val="22"/>
          <w:szCs w:val="22"/>
          <w:shd w:val="clear" w:color="auto" w:fill="FFFFFF"/>
        </w:rPr>
        <w:t xml:space="preserve"> building on a research project </w:t>
      </w:r>
      <w:r w:rsidR="00700658" w:rsidRPr="00F658E7">
        <w:rPr>
          <w:rFonts w:ascii="Calibri" w:hAnsi="Calibri" w:cs="Calibri"/>
          <w:color w:val="auto"/>
          <w:sz w:val="22"/>
          <w:szCs w:val="22"/>
          <w:shd w:val="clear" w:color="auto" w:fill="FFFFFF"/>
        </w:rPr>
        <w:t xml:space="preserve">on </w:t>
      </w:r>
      <w:r w:rsidRPr="00F658E7">
        <w:rPr>
          <w:rFonts w:ascii="Calibri" w:hAnsi="Calibri" w:cs="Calibri"/>
          <w:color w:val="auto"/>
          <w:sz w:val="22"/>
          <w:szCs w:val="22"/>
          <w:shd w:val="clear" w:color="auto" w:fill="FFFFFF"/>
        </w:rPr>
        <w:t xml:space="preserve"> Universal Design for Learning (UDL) in 2019, has developed a UDL </w:t>
      </w:r>
      <w:hyperlink r:id="rId17" w:history="1">
        <w:r w:rsidRPr="00F658E7">
          <w:rPr>
            <w:rStyle w:val="Hyperlink"/>
            <w:rFonts w:ascii="Calibri" w:hAnsi="Calibri" w:cs="Calibri"/>
            <w:color w:val="auto"/>
            <w:sz w:val="22"/>
            <w:szCs w:val="22"/>
            <w:shd w:val="clear" w:color="auto" w:fill="FFFFFF"/>
          </w:rPr>
          <w:t>self-assessment and reflection tool</w:t>
        </w:r>
      </w:hyperlink>
      <w:r w:rsidRPr="00F658E7">
        <w:rPr>
          <w:rFonts w:ascii="Calibri" w:hAnsi="Calibri" w:cs="Calibri"/>
          <w:color w:val="auto"/>
          <w:sz w:val="22"/>
          <w:szCs w:val="22"/>
          <w:shd w:val="clear" w:color="auto" w:fill="FFFFFF"/>
        </w:rPr>
        <w:t xml:space="preserve"> to enable teaching staff to extend their inclusive teaching practices</w:t>
      </w:r>
      <w:r w:rsidR="00772A8C" w:rsidRPr="00F658E7">
        <w:rPr>
          <w:rFonts w:ascii="Calibri" w:hAnsi="Calibri" w:cs="Calibri"/>
          <w:color w:val="auto"/>
          <w:sz w:val="22"/>
          <w:szCs w:val="22"/>
          <w:shd w:val="clear" w:color="auto" w:fill="FFFFFF"/>
        </w:rPr>
        <w:t xml:space="preserve">. </w:t>
      </w:r>
      <w:r w:rsidR="0020537B" w:rsidRPr="00F658E7">
        <w:rPr>
          <w:rFonts w:ascii="Calibri" w:eastAsia="Palatino Linotype" w:hAnsi="Calibri" w:cs="Calibri"/>
          <w:color w:val="auto"/>
          <w:sz w:val="22"/>
          <w:szCs w:val="22"/>
        </w:rPr>
        <w:t>The themes of inclusive teaching and learning and supporting student belonging have been threaded through many workshops</w:t>
      </w:r>
      <w:r w:rsidR="00C4006E" w:rsidRPr="00F658E7">
        <w:rPr>
          <w:rFonts w:ascii="Calibri" w:eastAsia="Palatino Linotype" w:hAnsi="Calibri" w:cs="Calibri"/>
          <w:color w:val="auto"/>
          <w:sz w:val="22"/>
          <w:szCs w:val="22"/>
        </w:rPr>
        <w:t xml:space="preserve">. </w:t>
      </w:r>
      <w:r w:rsidR="000D64EC" w:rsidRPr="00F658E7">
        <w:rPr>
          <w:rFonts w:ascii="Calibri" w:hAnsi="Calibri" w:cs="Calibri"/>
          <w:color w:val="auto"/>
          <w:sz w:val="22"/>
          <w:szCs w:val="22"/>
          <w:shd w:val="clear" w:color="auto" w:fill="FFFFFF"/>
        </w:rPr>
        <w:t>In</w:t>
      </w:r>
      <w:r w:rsidR="00772A8C" w:rsidRPr="00F658E7">
        <w:rPr>
          <w:rFonts w:ascii="Calibri" w:hAnsi="Calibri" w:cs="Calibri"/>
          <w:color w:val="auto"/>
          <w:sz w:val="22"/>
          <w:szCs w:val="22"/>
          <w:shd w:val="clear" w:color="auto" w:fill="FFFFFF"/>
        </w:rPr>
        <w:t xml:space="preserve"> 2021, a</w:t>
      </w:r>
      <w:r w:rsidRPr="00F658E7">
        <w:rPr>
          <w:rFonts w:ascii="Calibri" w:hAnsi="Calibri" w:cs="Calibri"/>
          <w:color w:val="auto"/>
          <w:sz w:val="22"/>
          <w:szCs w:val="22"/>
          <w:shd w:val="clear" w:color="auto" w:fill="FFFFFF"/>
        </w:rPr>
        <w:t xml:space="preserve"> new inclusive learning paper</w:t>
      </w:r>
      <w:r w:rsidR="00772A8C" w:rsidRPr="00F658E7">
        <w:rPr>
          <w:rFonts w:ascii="Calibri" w:hAnsi="Calibri" w:cs="Calibri"/>
          <w:color w:val="auto"/>
          <w:sz w:val="22"/>
          <w:szCs w:val="22"/>
          <w:shd w:val="clear" w:color="auto" w:fill="FFFFFF"/>
        </w:rPr>
        <w:t xml:space="preserve"> (TERTL505) </w:t>
      </w:r>
      <w:r w:rsidRPr="00F658E7">
        <w:rPr>
          <w:rFonts w:ascii="Calibri" w:hAnsi="Calibri" w:cs="Calibri"/>
          <w:color w:val="auto"/>
          <w:sz w:val="22"/>
          <w:szCs w:val="22"/>
          <w:shd w:val="clear" w:color="auto" w:fill="FFFFFF"/>
        </w:rPr>
        <w:t>in the Post Graduate Certificate in Tertiary Teaching &amp; Learning was introduced</w:t>
      </w:r>
      <w:r w:rsidR="00067EA9" w:rsidRPr="00F658E7">
        <w:rPr>
          <w:rFonts w:ascii="Calibri" w:hAnsi="Calibri" w:cs="Calibri"/>
          <w:color w:val="auto"/>
          <w:sz w:val="22"/>
          <w:szCs w:val="22"/>
          <w:shd w:val="clear" w:color="auto" w:fill="FFFFFF"/>
        </w:rPr>
        <w:t xml:space="preserve"> building on a paper from 2018</w:t>
      </w:r>
      <w:r w:rsidR="00772A8C" w:rsidRPr="00F658E7">
        <w:rPr>
          <w:rFonts w:ascii="Calibri" w:hAnsi="Calibri" w:cs="Calibri"/>
          <w:color w:val="auto"/>
          <w:sz w:val="22"/>
          <w:szCs w:val="22"/>
          <w:shd w:val="clear" w:color="auto" w:fill="FFFFFF"/>
        </w:rPr>
        <w:t>.</w:t>
      </w:r>
      <w:r w:rsidR="00772A8C" w:rsidRPr="00F658E7">
        <w:rPr>
          <w:rFonts w:ascii="Calibri" w:hAnsi="Calibri" w:cs="Calibri"/>
          <w:color w:val="auto"/>
          <w:sz w:val="22"/>
          <w:szCs w:val="22"/>
        </w:rPr>
        <w:t xml:space="preserve"> I</w:t>
      </w:r>
      <w:r w:rsidR="00772A8C" w:rsidRPr="00F658E7">
        <w:rPr>
          <w:rFonts w:ascii="Calibri" w:hAnsi="Calibri" w:cs="Calibri"/>
          <w:color w:val="auto"/>
          <w:sz w:val="22"/>
          <w:szCs w:val="22"/>
          <w:shd w:val="clear" w:color="auto" w:fill="FFFFFF"/>
        </w:rPr>
        <w:t xml:space="preserve">nclusion is a theme within other PGCert </w:t>
      </w:r>
      <w:r w:rsidR="00911E18" w:rsidRPr="00F658E7">
        <w:rPr>
          <w:rFonts w:ascii="Calibri" w:hAnsi="Calibri" w:cs="Calibri"/>
          <w:color w:val="auto"/>
          <w:sz w:val="22"/>
          <w:szCs w:val="22"/>
          <w:shd w:val="clear" w:color="auto" w:fill="FFFFFF"/>
        </w:rPr>
        <w:t>Tertiary Teaching &amp; Learning</w:t>
      </w:r>
      <w:r w:rsidR="00772A8C" w:rsidRPr="00F658E7">
        <w:rPr>
          <w:rFonts w:ascii="Calibri" w:hAnsi="Calibri" w:cs="Calibri"/>
          <w:color w:val="auto"/>
          <w:sz w:val="22"/>
          <w:szCs w:val="22"/>
          <w:shd w:val="clear" w:color="auto" w:fill="FFFFFF"/>
        </w:rPr>
        <w:t xml:space="preserve"> papers</w:t>
      </w:r>
      <w:r w:rsidR="006B29F4" w:rsidRPr="00F658E7">
        <w:rPr>
          <w:rFonts w:ascii="Calibri" w:hAnsi="Calibri" w:cs="Calibri"/>
          <w:color w:val="auto"/>
          <w:sz w:val="22"/>
          <w:szCs w:val="22"/>
          <w:shd w:val="clear" w:color="auto" w:fill="FFFFFF"/>
        </w:rPr>
        <w:t xml:space="preserve">, </w:t>
      </w:r>
      <w:r w:rsidR="00772A8C" w:rsidRPr="00F658E7">
        <w:rPr>
          <w:rFonts w:ascii="Calibri" w:hAnsi="Calibri" w:cs="Calibri"/>
          <w:color w:val="auto"/>
          <w:sz w:val="22"/>
          <w:szCs w:val="22"/>
          <w:shd w:val="clear" w:color="auto" w:fill="FFFFFF"/>
        </w:rPr>
        <w:t>and a review is underway to refresh th</w:t>
      </w:r>
      <w:r w:rsidR="000D64EC" w:rsidRPr="00F658E7">
        <w:rPr>
          <w:rFonts w:ascii="Calibri" w:hAnsi="Calibri" w:cs="Calibri"/>
          <w:color w:val="auto"/>
          <w:sz w:val="22"/>
          <w:szCs w:val="22"/>
          <w:shd w:val="clear" w:color="auto" w:fill="FFFFFF"/>
        </w:rPr>
        <w:t>ese</w:t>
      </w:r>
      <w:r w:rsidR="00772A8C" w:rsidRPr="00F658E7">
        <w:rPr>
          <w:rFonts w:ascii="Calibri" w:hAnsi="Calibri" w:cs="Calibri"/>
          <w:color w:val="auto"/>
          <w:sz w:val="22"/>
          <w:szCs w:val="22"/>
          <w:shd w:val="clear" w:color="auto" w:fill="FFFFFF"/>
        </w:rPr>
        <w:t xml:space="preserve"> for 2023.</w:t>
      </w:r>
      <w:r w:rsidR="0020537B" w:rsidRPr="00F658E7">
        <w:rPr>
          <w:rFonts w:ascii="Calibri" w:hAnsi="Calibri" w:cs="Calibri"/>
          <w:color w:val="auto"/>
          <w:sz w:val="22"/>
          <w:szCs w:val="22"/>
        </w:rPr>
        <w:t xml:space="preserve"> </w:t>
      </w:r>
      <w:proofErr w:type="spellStart"/>
      <w:r w:rsidR="00067EA9" w:rsidRPr="00F658E7">
        <w:rPr>
          <w:rFonts w:ascii="Calibri" w:hAnsi="Calibri" w:cs="Calibri"/>
          <w:color w:val="auto"/>
          <w:sz w:val="22"/>
          <w:szCs w:val="22"/>
        </w:rPr>
        <w:t>Te</w:t>
      </w:r>
      <w:proofErr w:type="spellEnd"/>
      <w:r w:rsidR="00067EA9" w:rsidRPr="00F658E7">
        <w:rPr>
          <w:rFonts w:ascii="Calibri" w:hAnsi="Calibri" w:cs="Calibri"/>
          <w:color w:val="auto"/>
          <w:sz w:val="22"/>
          <w:szCs w:val="22"/>
        </w:rPr>
        <w:t xml:space="preserve"> </w:t>
      </w:r>
      <w:proofErr w:type="spellStart"/>
      <w:r w:rsidR="00067EA9" w:rsidRPr="00F658E7">
        <w:rPr>
          <w:rFonts w:ascii="Calibri" w:hAnsi="Calibri" w:cs="Calibri"/>
          <w:color w:val="auto"/>
          <w:sz w:val="22"/>
          <w:szCs w:val="22"/>
        </w:rPr>
        <w:t>Puna</w:t>
      </w:r>
      <w:proofErr w:type="spellEnd"/>
      <w:r w:rsidR="00067EA9" w:rsidRPr="00F658E7">
        <w:rPr>
          <w:rFonts w:ascii="Calibri" w:hAnsi="Calibri" w:cs="Calibri"/>
          <w:color w:val="auto"/>
          <w:sz w:val="22"/>
          <w:szCs w:val="22"/>
        </w:rPr>
        <w:t xml:space="preserve"> </w:t>
      </w:r>
      <w:proofErr w:type="spellStart"/>
      <w:r w:rsidR="00067EA9" w:rsidRPr="00F658E7">
        <w:rPr>
          <w:rFonts w:ascii="Calibri" w:hAnsi="Calibri" w:cs="Calibri"/>
          <w:color w:val="auto"/>
          <w:sz w:val="22"/>
          <w:szCs w:val="22"/>
        </w:rPr>
        <w:t>Ako</w:t>
      </w:r>
      <w:proofErr w:type="spellEnd"/>
      <w:r w:rsidR="00067EA9" w:rsidRPr="00F658E7">
        <w:rPr>
          <w:rFonts w:ascii="Calibri" w:hAnsi="Calibri" w:cs="Calibri"/>
          <w:color w:val="auto"/>
          <w:sz w:val="22"/>
          <w:szCs w:val="22"/>
        </w:rPr>
        <w:t xml:space="preserve"> </w:t>
      </w:r>
      <w:r w:rsidR="009B1725">
        <w:rPr>
          <w:rFonts w:ascii="Calibri" w:hAnsi="Calibri" w:cs="Calibri"/>
          <w:color w:val="auto"/>
          <w:sz w:val="22"/>
          <w:szCs w:val="22"/>
        </w:rPr>
        <w:t xml:space="preserve">has </w:t>
      </w:r>
      <w:r w:rsidR="00067EA9" w:rsidRPr="00F658E7">
        <w:rPr>
          <w:rFonts w:ascii="Calibri" w:hAnsi="Calibri" w:cs="Calibri"/>
          <w:color w:val="auto"/>
          <w:sz w:val="22"/>
          <w:szCs w:val="22"/>
        </w:rPr>
        <w:t>a project working group focused on accessibility and inclusion</w:t>
      </w:r>
      <w:r w:rsidR="00175BB1" w:rsidRPr="00F658E7">
        <w:rPr>
          <w:rFonts w:ascii="Calibri" w:hAnsi="Calibri" w:cs="Calibri"/>
          <w:color w:val="auto"/>
          <w:sz w:val="22"/>
          <w:szCs w:val="22"/>
        </w:rPr>
        <w:t>.</w:t>
      </w:r>
      <w:r w:rsidR="00067EA9" w:rsidRPr="00F658E7">
        <w:rPr>
          <w:rFonts w:ascii="Calibri" w:hAnsi="Calibri" w:cs="Calibri"/>
          <w:color w:val="auto"/>
          <w:sz w:val="22"/>
          <w:szCs w:val="22"/>
        </w:rPr>
        <w:t xml:space="preserve"> This work has the potential to be happening on a University-wide level facilitated by </w:t>
      </w:r>
      <w:proofErr w:type="spellStart"/>
      <w:r w:rsidR="00067EA9" w:rsidRPr="00F658E7">
        <w:rPr>
          <w:rFonts w:ascii="Calibri" w:hAnsi="Calibri" w:cs="Calibri"/>
          <w:color w:val="auto"/>
          <w:sz w:val="22"/>
          <w:szCs w:val="22"/>
        </w:rPr>
        <w:t>Te</w:t>
      </w:r>
      <w:proofErr w:type="spellEnd"/>
      <w:r w:rsidR="00067EA9" w:rsidRPr="00F658E7">
        <w:rPr>
          <w:rFonts w:ascii="Calibri" w:hAnsi="Calibri" w:cs="Calibri"/>
          <w:color w:val="auto"/>
          <w:sz w:val="22"/>
          <w:szCs w:val="22"/>
        </w:rPr>
        <w:t xml:space="preserve"> </w:t>
      </w:r>
      <w:proofErr w:type="spellStart"/>
      <w:r w:rsidR="00067EA9" w:rsidRPr="00F658E7">
        <w:rPr>
          <w:rFonts w:ascii="Calibri" w:hAnsi="Calibri" w:cs="Calibri"/>
          <w:color w:val="auto"/>
          <w:sz w:val="22"/>
          <w:szCs w:val="22"/>
        </w:rPr>
        <w:t>Puna</w:t>
      </w:r>
      <w:proofErr w:type="spellEnd"/>
      <w:r w:rsidR="00067EA9" w:rsidRPr="00F658E7">
        <w:rPr>
          <w:rFonts w:ascii="Calibri" w:hAnsi="Calibri" w:cs="Calibri"/>
          <w:color w:val="auto"/>
          <w:sz w:val="22"/>
          <w:szCs w:val="22"/>
        </w:rPr>
        <w:t xml:space="preserve"> </w:t>
      </w:r>
      <w:proofErr w:type="spellStart"/>
      <w:r w:rsidR="00067EA9" w:rsidRPr="00F658E7">
        <w:rPr>
          <w:rFonts w:ascii="Calibri" w:hAnsi="Calibri" w:cs="Calibri"/>
          <w:color w:val="auto"/>
          <w:sz w:val="22"/>
          <w:szCs w:val="22"/>
        </w:rPr>
        <w:t>Ako</w:t>
      </w:r>
      <w:proofErr w:type="spellEnd"/>
      <w:r w:rsidR="00C21708">
        <w:rPr>
          <w:rFonts w:ascii="Calibri" w:hAnsi="Calibri" w:cs="Calibri"/>
          <w:color w:val="auto"/>
          <w:sz w:val="22"/>
          <w:szCs w:val="22"/>
        </w:rPr>
        <w:t>.</w:t>
      </w:r>
    </w:p>
    <w:p w14:paraId="56B38215" w14:textId="77777777" w:rsidR="0020537B" w:rsidRPr="00F658E7" w:rsidRDefault="0020537B" w:rsidP="0012782C">
      <w:pPr>
        <w:pStyle w:val="Default"/>
        <w:rPr>
          <w:rFonts w:ascii="Calibri" w:hAnsi="Calibri" w:cs="Calibri"/>
          <w:color w:val="auto"/>
          <w:sz w:val="22"/>
          <w:szCs w:val="22"/>
          <w:shd w:val="clear" w:color="auto" w:fill="FFFFFF"/>
        </w:rPr>
      </w:pPr>
    </w:p>
    <w:p w14:paraId="779E6312" w14:textId="3F72DC9E" w:rsidR="00175BB1" w:rsidRPr="00D910F0" w:rsidRDefault="00A6012B" w:rsidP="0012782C">
      <w:pPr>
        <w:spacing w:after="0" w:line="240" w:lineRule="auto"/>
        <w:rPr>
          <w:rFonts w:ascii="Calibri" w:hAnsi="Calibri" w:cs="Calibri"/>
        </w:rPr>
      </w:pPr>
      <w:r w:rsidRPr="00665B84">
        <w:rPr>
          <w:rFonts w:ascii="Calibri" w:hAnsi="Calibri" w:cs="Calibri"/>
          <w:shd w:val="clear" w:color="auto" w:fill="FFFFFF"/>
        </w:rPr>
        <w:t xml:space="preserve">In addition, </w:t>
      </w:r>
      <w:proofErr w:type="spellStart"/>
      <w:r w:rsidR="00911E18" w:rsidRPr="00665B84">
        <w:rPr>
          <w:rFonts w:ascii="Calibri" w:hAnsi="Calibri" w:cs="Calibri"/>
          <w:shd w:val="clear" w:color="auto" w:fill="FFFFFF"/>
        </w:rPr>
        <w:t>Te</w:t>
      </w:r>
      <w:proofErr w:type="spellEnd"/>
      <w:r w:rsidR="00911E18" w:rsidRPr="00665B84">
        <w:rPr>
          <w:rFonts w:ascii="Calibri" w:hAnsi="Calibri" w:cs="Calibri"/>
          <w:shd w:val="clear" w:color="auto" w:fill="FFFFFF"/>
        </w:rPr>
        <w:t xml:space="preserve"> </w:t>
      </w:r>
      <w:proofErr w:type="spellStart"/>
      <w:r w:rsidR="00911E18" w:rsidRPr="00665B84">
        <w:rPr>
          <w:rFonts w:ascii="Calibri" w:hAnsi="Calibri" w:cs="Calibri"/>
          <w:shd w:val="clear" w:color="auto" w:fill="FFFFFF"/>
        </w:rPr>
        <w:t>Puna</w:t>
      </w:r>
      <w:proofErr w:type="spellEnd"/>
      <w:r w:rsidR="00911E18" w:rsidRPr="00665B84">
        <w:rPr>
          <w:rFonts w:ascii="Calibri" w:hAnsi="Calibri" w:cs="Calibri"/>
          <w:shd w:val="clear" w:color="auto" w:fill="FFFFFF"/>
        </w:rPr>
        <w:t xml:space="preserve"> </w:t>
      </w:r>
      <w:proofErr w:type="spellStart"/>
      <w:r w:rsidR="00911E18" w:rsidRPr="00665B84">
        <w:rPr>
          <w:rFonts w:ascii="Calibri" w:hAnsi="Calibri" w:cs="Calibri"/>
          <w:shd w:val="clear" w:color="auto" w:fill="FFFFFF"/>
        </w:rPr>
        <w:t>Ako</w:t>
      </w:r>
      <w:proofErr w:type="spellEnd"/>
      <w:r w:rsidR="00F322DE" w:rsidRPr="00F22E21">
        <w:rPr>
          <w:rFonts w:ascii="Calibri" w:hAnsi="Calibri" w:cs="Calibri"/>
          <w:shd w:val="clear" w:color="auto" w:fill="FFFFFF"/>
        </w:rPr>
        <w:t xml:space="preserve"> </w:t>
      </w:r>
      <w:r w:rsidR="00B1174D" w:rsidRPr="00F22E21">
        <w:rPr>
          <w:rFonts w:ascii="Calibri" w:hAnsi="Calibri" w:cs="Calibri"/>
        </w:rPr>
        <w:t>h</w:t>
      </w:r>
      <w:r w:rsidR="009B1725">
        <w:rPr>
          <w:rFonts w:ascii="Calibri" w:hAnsi="Calibri" w:cs="Calibri"/>
        </w:rPr>
        <w:t xml:space="preserve">as </w:t>
      </w:r>
      <w:r w:rsidR="00B1174D" w:rsidRPr="00F22E21">
        <w:rPr>
          <w:rFonts w:ascii="Calibri" w:hAnsi="Calibri" w:cs="Calibri"/>
        </w:rPr>
        <w:t xml:space="preserve">run </w:t>
      </w:r>
      <w:r w:rsidR="00911E18" w:rsidRPr="00F22E21">
        <w:rPr>
          <w:rFonts w:ascii="Calibri" w:hAnsi="Calibri" w:cs="Calibri"/>
        </w:rPr>
        <w:t>e</w:t>
      </w:r>
      <w:r w:rsidR="0037768F" w:rsidRPr="00D910F0">
        <w:rPr>
          <w:rFonts w:ascii="Calibri" w:hAnsi="Calibri" w:cs="Calibri"/>
        </w:rPr>
        <w:t>xtended workshop</w:t>
      </w:r>
      <w:r w:rsidR="0020537B" w:rsidRPr="00D910F0">
        <w:rPr>
          <w:rFonts w:ascii="Calibri" w:hAnsi="Calibri" w:cs="Calibri"/>
        </w:rPr>
        <w:t xml:space="preserve"> </w:t>
      </w:r>
      <w:r w:rsidR="0037768F" w:rsidRPr="00D910F0">
        <w:rPr>
          <w:rFonts w:ascii="Calibri" w:hAnsi="Calibri" w:cs="Calibri"/>
        </w:rPr>
        <w:t>series/programmes</w:t>
      </w:r>
      <w:r w:rsidR="00911E18" w:rsidRPr="00D910F0">
        <w:rPr>
          <w:rFonts w:ascii="Calibri" w:hAnsi="Calibri" w:cs="Calibri"/>
        </w:rPr>
        <w:t xml:space="preserve"> </w:t>
      </w:r>
      <w:r w:rsidR="0037768F" w:rsidRPr="00D910F0">
        <w:rPr>
          <w:rFonts w:ascii="Calibri" w:hAnsi="Calibri" w:cs="Calibri"/>
        </w:rPr>
        <w:t>(specific</w:t>
      </w:r>
      <w:r w:rsidR="000D64EC" w:rsidRPr="00D910F0">
        <w:rPr>
          <w:rFonts w:ascii="Calibri" w:hAnsi="Calibri" w:cs="Calibri"/>
        </w:rPr>
        <w:t xml:space="preserve"> to different disciplinary contexts</w:t>
      </w:r>
      <w:r w:rsidR="0037768F" w:rsidRPr="00D910F0">
        <w:rPr>
          <w:rFonts w:ascii="Calibri" w:hAnsi="Calibri" w:cs="Calibri"/>
        </w:rPr>
        <w:t>) working with teaching</w:t>
      </w:r>
      <w:r w:rsidR="00911E18" w:rsidRPr="00D910F0">
        <w:rPr>
          <w:rFonts w:ascii="Calibri" w:hAnsi="Calibri" w:cs="Calibri"/>
        </w:rPr>
        <w:t xml:space="preserve"> </w:t>
      </w:r>
      <w:r w:rsidR="0037768F" w:rsidRPr="00D910F0">
        <w:rPr>
          <w:rFonts w:ascii="Calibri" w:hAnsi="Calibri" w:cs="Calibri"/>
        </w:rPr>
        <w:t>teams to</w:t>
      </w:r>
      <w:r w:rsidR="00911E18" w:rsidRPr="00D910F0">
        <w:rPr>
          <w:rFonts w:ascii="Calibri" w:hAnsi="Calibri" w:cs="Calibri"/>
        </w:rPr>
        <w:t xml:space="preserve"> </w:t>
      </w:r>
      <w:r w:rsidR="0037768F" w:rsidRPr="00D910F0">
        <w:rPr>
          <w:rFonts w:ascii="Calibri" w:hAnsi="Calibri" w:cs="Calibri"/>
        </w:rPr>
        <w:t>develop their</w:t>
      </w:r>
      <w:r w:rsidR="00911E18" w:rsidRPr="00D910F0">
        <w:rPr>
          <w:rFonts w:ascii="Calibri" w:hAnsi="Calibri" w:cs="Calibri"/>
        </w:rPr>
        <w:t xml:space="preserve"> </w:t>
      </w:r>
      <w:r w:rsidR="0037768F" w:rsidRPr="00D910F0">
        <w:rPr>
          <w:rFonts w:ascii="Calibri" w:hAnsi="Calibri" w:cs="Calibri"/>
        </w:rPr>
        <w:t>inclusive teaching</w:t>
      </w:r>
      <w:r w:rsidR="00911E18" w:rsidRPr="00D910F0">
        <w:rPr>
          <w:rFonts w:ascii="Calibri" w:hAnsi="Calibri" w:cs="Calibri"/>
        </w:rPr>
        <w:t xml:space="preserve"> </w:t>
      </w:r>
      <w:r w:rsidR="0037768F" w:rsidRPr="00D910F0">
        <w:rPr>
          <w:rFonts w:ascii="Calibri" w:hAnsi="Calibri" w:cs="Calibri"/>
        </w:rPr>
        <w:t>awareness and</w:t>
      </w:r>
      <w:r w:rsidR="00911E18" w:rsidRPr="00D910F0">
        <w:rPr>
          <w:rFonts w:ascii="Calibri" w:hAnsi="Calibri" w:cs="Calibri"/>
        </w:rPr>
        <w:t xml:space="preserve"> </w:t>
      </w:r>
      <w:r w:rsidR="0037768F" w:rsidRPr="00D910F0">
        <w:rPr>
          <w:rFonts w:ascii="Calibri" w:hAnsi="Calibri" w:cs="Calibri"/>
        </w:rPr>
        <w:t>support of students</w:t>
      </w:r>
      <w:r w:rsidR="00911E18" w:rsidRPr="00D910F0">
        <w:rPr>
          <w:rFonts w:ascii="Calibri" w:hAnsi="Calibri" w:cs="Calibri"/>
        </w:rPr>
        <w:t xml:space="preserve"> </w:t>
      </w:r>
      <w:r w:rsidR="0037768F" w:rsidRPr="00D910F0">
        <w:rPr>
          <w:rFonts w:ascii="Calibri" w:hAnsi="Calibri" w:cs="Calibri"/>
        </w:rPr>
        <w:t>with impairments</w:t>
      </w:r>
      <w:r w:rsidR="00911E18" w:rsidRPr="00D910F0">
        <w:rPr>
          <w:rFonts w:ascii="Calibri" w:hAnsi="Calibri" w:cs="Calibri"/>
        </w:rPr>
        <w:t xml:space="preserve">. </w:t>
      </w:r>
      <w:r w:rsidR="00B1174D" w:rsidRPr="00D910F0">
        <w:rPr>
          <w:rFonts w:ascii="Calibri" w:hAnsi="Calibri" w:cs="Calibri"/>
        </w:rPr>
        <w:t>The</w:t>
      </w:r>
      <w:r w:rsidR="009B1725">
        <w:rPr>
          <w:rFonts w:ascii="Calibri" w:hAnsi="Calibri" w:cs="Calibri"/>
        </w:rPr>
        <w:t xml:space="preserve"> team </w:t>
      </w:r>
      <w:r w:rsidR="00B1174D" w:rsidRPr="00D910F0">
        <w:rPr>
          <w:rFonts w:ascii="Calibri" w:hAnsi="Calibri" w:cs="Calibri"/>
        </w:rPr>
        <w:t>also provide</w:t>
      </w:r>
      <w:r w:rsidR="009B1725">
        <w:rPr>
          <w:rFonts w:ascii="Calibri" w:hAnsi="Calibri" w:cs="Calibri"/>
        </w:rPr>
        <w:t>s</w:t>
      </w:r>
      <w:r w:rsidR="00B1174D" w:rsidRPr="00D910F0">
        <w:rPr>
          <w:rFonts w:ascii="Calibri" w:hAnsi="Calibri" w:cs="Calibri"/>
        </w:rPr>
        <w:t xml:space="preserve"> one-on-one assistance to teaching staff looking to better support students with impairments. </w:t>
      </w:r>
      <w:proofErr w:type="spellStart"/>
      <w:r w:rsidR="00321D99" w:rsidRPr="00D910F0">
        <w:rPr>
          <w:rFonts w:ascii="Calibri" w:hAnsi="Calibri" w:cs="Calibri"/>
        </w:rPr>
        <w:t>T</w:t>
      </w:r>
      <w:r w:rsidR="00B1174D" w:rsidRPr="00D910F0">
        <w:rPr>
          <w:rFonts w:ascii="Calibri" w:hAnsi="Calibri" w:cs="Calibri"/>
        </w:rPr>
        <w:t>e</w:t>
      </w:r>
      <w:proofErr w:type="spellEnd"/>
      <w:r w:rsidR="00B1174D" w:rsidRPr="00D910F0">
        <w:rPr>
          <w:rFonts w:ascii="Calibri" w:hAnsi="Calibri" w:cs="Calibri"/>
        </w:rPr>
        <w:t xml:space="preserve"> </w:t>
      </w:r>
      <w:proofErr w:type="spellStart"/>
      <w:r w:rsidR="00B1174D" w:rsidRPr="00D910F0">
        <w:rPr>
          <w:rFonts w:ascii="Calibri" w:hAnsi="Calibri" w:cs="Calibri"/>
        </w:rPr>
        <w:t>Puna</w:t>
      </w:r>
      <w:proofErr w:type="spellEnd"/>
      <w:r w:rsidR="00B1174D" w:rsidRPr="00D910F0">
        <w:rPr>
          <w:rFonts w:ascii="Calibri" w:hAnsi="Calibri" w:cs="Calibri"/>
        </w:rPr>
        <w:t xml:space="preserve"> </w:t>
      </w:r>
      <w:proofErr w:type="spellStart"/>
      <w:r w:rsidR="00B1174D" w:rsidRPr="00D910F0">
        <w:rPr>
          <w:rFonts w:ascii="Calibri" w:hAnsi="Calibri" w:cs="Calibri"/>
        </w:rPr>
        <w:t>Ako</w:t>
      </w:r>
      <w:proofErr w:type="spellEnd"/>
      <w:r w:rsidRPr="00D910F0">
        <w:rPr>
          <w:rFonts w:ascii="Calibri" w:hAnsi="Calibri" w:cs="Calibri"/>
        </w:rPr>
        <w:t xml:space="preserve"> </w:t>
      </w:r>
      <w:r w:rsidR="009B1725">
        <w:rPr>
          <w:rFonts w:ascii="Calibri" w:hAnsi="Calibri" w:cs="Calibri"/>
        </w:rPr>
        <w:t xml:space="preserve">is </w:t>
      </w:r>
      <w:r w:rsidRPr="00D910F0">
        <w:rPr>
          <w:rFonts w:ascii="Calibri" w:hAnsi="Calibri" w:cs="Calibri"/>
        </w:rPr>
        <w:t xml:space="preserve">committed to </w:t>
      </w:r>
      <w:r w:rsidR="00321D99" w:rsidRPr="00D910F0">
        <w:rPr>
          <w:rFonts w:ascii="Calibri" w:hAnsi="Calibri" w:cs="Calibri"/>
        </w:rPr>
        <w:t>continu</w:t>
      </w:r>
      <w:r w:rsidRPr="00D910F0">
        <w:rPr>
          <w:rFonts w:ascii="Calibri" w:hAnsi="Calibri" w:cs="Calibri"/>
        </w:rPr>
        <w:t>ing</w:t>
      </w:r>
      <w:r w:rsidR="00321D99" w:rsidRPr="00D910F0">
        <w:rPr>
          <w:rFonts w:ascii="Calibri" w:hAnsi="Calibri" w:cs="Calibri"/>
        </w:rPr>
        <w:t xml:space="preserve"> to build </w:t>
      </w:r>
      <w:r w:rsidR="009B1725">
        <w:rPr>
          <w:rFonts w:ascii="Calibri" w:hAnsi="Calibri" w:cs="Calibri"/>
        </w:rPr>
        <w:t xml:space="preserve">its </w:t>
      </w:r>
      <w:r w:rsidR="00321D99" w:rsidRPr="00D910F0">
        <w:rPr>
          <w:rFonts w:ascii="Calibri" w:hAnsi="Calibri" w:cs="Calibri"/>
        </w:rPr>
        <w:t>relationship</w:t>
      </w:r>
      <w:r w:rsidR="00084245" w:rsidRPr="00D910F0">
        <w:rPr>
          <w:rFonts w:ascii="Calibri" w:hAnsi="Calibri" w:cs="Calibri"/>
        </w:rPr>
        <w:t xml:space="preserve"> </w:t>
      </w:r>
      <w:r w:rsidR="0037768F" w:rsidRPr="00D910F0">
        <w:rPr>
          <w:rFonts w:ascii="Calibri" w:hAnsi="Calibri" w:cs="Calibri"/>
        </w:rPr>
        <w:t xml:space="preserve">with </w:t>
      </w:r>
      <w:r w:rsidR="00321D99" w:rsidRPr="00D910F0">
        <w:rPr>
          <w:rFonts w:ascii="Calibri" w:hAnsi="Calibri" w:cs="Calibri"/>
        </w:rPr>
        <w:t>A</w:t>
      </w:r>
      <w:r w:rsidR="0037768F" w:rsidRPr="00D910F0">
        <w:rPr>
          <w:rFonts w:ascii="Calibri" w:hAnsi="Calibri" w:cs="Calibri"/>
        </w:rPr>
        <w:t>ccessibility</w:t>
      </w:r>
      <w:r w:rsidR="00084245" w:rsidRPr="00D910F0">
        <w:rPr>
          <w:rFonts w:ascii="Calibri" w:hAnsi="Calibri" w:cs="Calibri"/>
        </w:rPr>
        <w:t xml:space="preserve"> </w:t>
      </w:r>
      <w:r w:rsidR="00321D99" w:rsidRPr="00D910F0">
        <w:rPr>
          <w:rFonts w:ascii="Calibri" w:hAnsi="Calibri" w:cs="Calibri"/>
        </w:rPr>
        <w:t>S</w:t>
      </w:r>
      <w:r w:rsidR="0037768F" w:rsidRPr="00D910F0">
        <w:rPr>
          <w:rFonts w:ascii="Calibri" w:hAnsi="Calibri" w:cs="Calibri"/>
        </w:rPr>
        <w:t>ervices</w:t>
      </w:r>
      <w:r w:rsidR="00321D99" w:rsidRPr="00D910F0">
        <w:rPr>
          <w:rFonts w:ascii="Calibri" w:hAnsi="Calibri" w:cs="Calibri"/>
        </w:rPr>
        <w:t xml:space="preserve">, for example by providing intensive wrap around </w:t>
      </w:r>
      <w:r w:rsidR="000D64EC" w:rsidRPr="00D910F0">
        <w:rPr>
          <w:rFonts w:ascii="Calibri" w:hAnsi="Calibri" w:cs="Calibri"/>
        </w:rPr>
        <w:t>s</w:t>
      </w:r>
      <w:r w:rsidR="00321D99" w:rsidRPr="00D910F0">
        <w:rPr>
          <w:rFonts w:ascii="Calibri" w:hAnsi="Calibri" w:cs="Calibri"/>
        </w:rPr>
        <w:t xml:space="preserve">tudent </w:t>
      </w:r>
      <w:r w:rsidR="000D64EC" w:rsidRPr="00D910F0">
        <w:rPr>
          <w:rFonts w:ascii="Calibri" w:hAnsi="Calibri" w:cs="Calibri"/>
        </w:rPr>
        <w:t>l</w:t>
      </w:r>
      <w:r w:rsidR="00321D99" w:rsidRPr="00D910F0">
        <w:rPr>
          <w:rFonts w:ascii="Calibri" w:hAnsi="Calibri" w:cs="Calibri"/>
        </w:rPr>
        <w:t xml:space="preserve">earning support plans for students identified by Accessibility Services, as well as offering one-on-one, online and face-to-face </w:t>
      </w:r>
      <w:r w:rsidR="000D64EC" w:rsidRPr="00D910F0">
        <w:rPr>
          <w:rFonts w:ascii="Calibri" w:hAnsi="Calibri" w:cs="Calibri"/>
        </w:rPr>
        <w:t>s</w:t>
      </w:r>
      <w:r w:rsidR="0037768F" w:rsidRPr="00D910F0">
        <w:rPr>
          <w:rFonts w:ascii="Calibri" w:hAnsi="Calibri" w:cs="Calibri"/>
        </w:rPr>
        <w:t xml:space="preserve">tudent </w:t>
      </w:r>
      <w:r w:rsidR="000D64EC" w:rsidRPr="00D910F0">
        <w:rPr>
          <w:rFonts w:ascii="Calibri" w:hAnsi="Calibri" w:cs="Calibri"/>
        </w:rPr>
        <w:t>l</w:t>
      </w:r>
      <w:r w:rsidR="0037768F" w:rsidRPr="00D910F0">
        <w:rPr>
          <w:rFonts w:ascii="Calibri" w:hAnsi="Calibri" w:cs="Calibri"/>
        </w:rPr>
        <w:t>earning</w:t>
      </w:r>
      <w:r w:rsidR="00084245" w:rsidRPr="00D910F0">
        <w:rPr>
          <w:rFonts w:ascii="Calibri" w:hAnsi="Calibri" w:cs="Calibri"/>
        </w:rPr>
        <w:t xml:space="preserve"> </w:t>
      </w:r>
      <w:r w:rsidR="0037768F" w:rsidRPr="00D910F0">
        <w:rPr>
          <w:rFonts w:ascii="Calibri" w:hAnsi="Calibri" w:cs="Calibri"/>
        </w:rPr>
        <w:t>support</w:t>
      </w:r>
      <w:r w:rsidR="00321D99" w:rsidRPr="00D910F0">
        <w:rPr>
          <w:rFonts w:ascii="Calibri" w:hAnsi="Calibri" w:cs="Calibri"/>
        </w:rPr>
        <w:t xml:space="preserve">. </w:t>
      </w:r>
      <w:r w:rsidR="0037768F" w:rsidRPr="00D910F0">
        <w:rPr>
          <w:rFonts w:ascii="Calibri" w:hAnsi="Calibri" w:cs="Calibri"/>
        </w:rPr>
        <w:t xml:space="preserve"> </w:t>
      </w:r>
    </w:p>
    <w:p w14:paraId="2B7D1FE5" w14:textId="68D969AB" w:rsidR="00FC211C" w:rsidRPr="00D910F0" w:rsidRDefault="00FC211C" w:rsidP="0012782C">
      <w:pPr>
        <w:spacing w:after="0" w:line="240" w:lineRule="auto"/>
        <w:rPr>
          <w:rFonts w:ascii="Calibri" w:hAnsi="Calibri" w:cs="Calibri"/>
        </w:rPr>
      </w:pPr>
    </w:p>
    <w:p w14:paraId="0417842A" w14:textId="116D2B46" w:rsidR="00FC211C" w:rsidRPr="00D910F0" w:rsidRDefault="00FC211C" w:rsidP="0012782C">
      <w:pPr>
        <w:spacing w:after="0" w:line="240" w:lineRule="auto"/>
        <w:rPr>
          <w:rFonts w:ascii="Calibri" w:hAnsi="Calibri" w:cs="Calibri"/>
        </w:rPr>
      </w:pPr>
      <w:r w:rsidRPr="00D910F0">
        <w:rPr>
          <w:rFonts w:ascii="Calibri" w:hAnsi="Calibri" w:cs="Calibri"/>
        </w:rPr>
        <w:t>Accessib</w:t>
      </w:r>
      <w:r w:rsidR="001F4E43" w:rsidRPr="00D910F0">
        <w:rPr>
          <w:rFonts w:ascii="Calibri" w:hAnsi="Calibri" w:cs="Calibri"/>
        </w:rPr>
        <w:t>le</w:t>
      </w:r>
      <w:r w:rsidRPr="00D910F0">
        <w:rPr>
          <w:rFonts w:ascii="Calibri" w:hAnsi="Calibri" w:cs="Calibri"/>
        </w:rPr>
        <w:t xml:space="preserve"> teaching and learning </w:t>
      </w:r>
      <w:proofErr w:type="gramStart"/>
      <w:r w:rsidRPr="00D910F0">
        <w:rPr>
          <w:rFonts w:ascii="Calibri" w:hAnsi="Calibri" w:cs="Calibri"/>
        </w:rPr>
        <w:t>is</w:t>
      </w:r>
      <w:proofErr w:type="gramEnd"/>
      <w:r w:rsidRPr="00D910F0">
        <w:rPr>
          <w:rFonts w:ascii="Calibri" w:hAnsi="Calibri" w:cs="Calibri"/>
        </w:rPr>
        <w:t xml:space="preserve"> also supported through approaches that have ‘inbuilt’ flexibility. Across a range of divisions, schools and units the University has undertaken initiatives to address access to teaching and learning. One example is introducing a number of FLEXI papers across a range of subject areas. Papers coded as FLEXI offer more than simply blended-learning (using technology to enhance learning). They make all learning in a paper available to students either online or face-to-face. On any given day a student can choose whether they want to learn on-line or come to campus for a face-to-face experience. These papers are beneficial for the student body as a whole but particularly for disabled students. </w:t>
      </w:r>
    </w:p>
    <w:p w14:paraId="6FA18672" w14:textId="22AFB6CE" w:rsidR="00C4006E" w:rsidRPr="00F658E7" w:rsidRDefault="00C4006E" w:rsidP="0012782C">
      <w:pPr>
        <w:pStyle w:val="Default"/>
        <w:rPr>
          <w:rFonts w:ascii="Calibri" w:hAnsi="Calibri" w:cs="Calibri"/>
          <w:color w:val="auto"/>
          <w:sz w:val="22"/>
          <w:szCs w:val="22"/>
        </w:rPr>
      </w:pPr>
    </w:p>
    <w:p w14:paraId="11C94108" w14:textId="2B3E6CCE" w:rsidR="00321D99" w:rsidRPr="00F658E7" w:rsidRDefault="00321D99" w:rsidP="0012782C">
      <w:pPr>
        <w:pStyle w:val="Heading2"/>
        <w:spacing w:line="240" w:lineRule="auto"/>
        <w:rPr>
          <w:color w:val="auto"/>
        </w:rPr>
      </w:pPr>
      <w:bookmarkStart w:id="20" w:name="_Toc120609562"/>
      <w:r w:rsidRPr="00F658E7">
        <w:rPr>
          <w:color w:val="auto"/>
        </w:rPr>
        <w:t>2.</w:t>
      </w:r>
      <w:r w:rsidR="007B385A" w:rsidRPr="00F658E7">
        <w:rPr>
          <w:color w:val="auto"/>
        </w:rPr>
        <w:t>4</w:t>
      </w:r>
      <w:r w:rsidRPr="00F658E7">
        <w:rPr>
          <w:color w:val="auto"/>
        </w:rPr>
        <w:t xml:space="preserve"> Accommodation Services</w:t>
      </w:r>
      <w:bookmarkEnd w:id="20"/>
    </w:p>
    <w:p w14:paraId="6F1556FD" w14:textId="2241625A" w:rsidR="008010DB" w:rsidRDefault="005B3BE4" w:rsidP="0012782C">
      <w:pPr>
        <w:spacing w:after="0" w:line="240" w:lineRule="auto"/>
        <w:rPr>
          <w:rFonts w:ascii="Calibri" w:eastAsia="Palatino Linotype" w:hAnsi="Calibri" w:cs="Calibri"/>
        </w:rPr>
      </w:pPr>
      <w:r w:rsidRPr="00665B84">
        <w:rPr>
          <w:rFonts w:ascii="Calibri" w:eastAsia="Palatino Linotype" w:hAnsi="Calibri" w:cs="Calibri"/>
        </w:rPr>
        <w:t>A</w:t>
      </w:r>
      <w:r w:rsidR="00C4006E" w:rsidRPr="00665B84">
        <w:rPr>
          <w:rFonts w:ascii="Calibri" w:eastAsia="Palatino Linotype" w:hAnsi="Calibri" w:cs="Calibri"/>
        </w:rPr>
        <w:t xml:space="preserve">ccommodation </w:t>
      </w:r>
      <w:r w:rsidRPr="00F22E21">
        <w:rPr>
          <w:rFonts w:ascii="Calibri" w:eastAsia="Palatino Linotype" w:hAnsi="Calibri" w:cs="Calibri"/>
        </w:rPr>
        <w:t>Services aim to be</w:t>
      </w:r>
      <w:r w:rsidR="00C4006E" w:rsidRPr="00F22E21">
        <w:rPr>
          <w:rFonts w:ascii="Calibri" w:eastAsia="Palatino Linotype" w:hAnsi="Calibri" w:cs="Calibri"/>
        </w:rPr>
        <w:t xml:space="preserve"> </w:t>
      </w:r>
      <w:r w:rsidR="00CC6788" w:rsidRPr="00F22E21">
        <w:rPr>
          <w:rFonts w:ascii="Calibri" w:eastAsia="Palatino Linotype" w:hAnsi="Calibri" w:cs="Calibri"/>
        </w:rPr>
        <w:t>responsive</w:t>
      </w:r>
      <w:r w:rsidR="00C4006E" w:rsidRPr="00F22E21">
        <w:rPr>
          <w:rFonts w:ascii="Calibri" w:eastAsia="Palatino Linotype" w:hAnsi="Calibri" w:cs="Calibri"/>
        </w:rPr>
        <w:t xml:space="preserve"> to requests from students to meet</w:t>
      </w:r>
      <w:r w:rsidR="00C4006E" w:rsidRPr="00D910F0">
        <w:rPr>
          <w:rFonts w:ascii="Calibri" w:eastAsia="Palatino Linotype" w:hAnsi="Calibri" w:cs="Calibri"/>
        </w:rPr>
        <w:t xml:space="preserve"> their access needs</w:t>
      </w:r>
      <w:r w:rsidR="00CC6788" w:rsidRPr="00D910F0">
        <w:rPr>
          <w:rFonts w:ascii="Calibri" w:eastAsia="Palatino Linotype" w:hAnsi="Calibri" w:cs="Calibri"/>
        </w:rPr>
        <w:t xml:space="preserve">. Two </w:t>
      </w:r>
      <w:r w:rsidR="00C4006E" w:rsidRPr="00D910F0">
        <w:rPr>
          <w:rFonts w:ascii="Calibri" w:eastAsia="Palatino Linotype" w:hAnsi="Calibri" w:cs="Calibri"/>
        </w:rPr>
        <w:t>services</w:t>
      </w:r>
      <w:r w:rsidR="0030125A" w:rsidRPr="00D910F0">
        <w:rPr>
          <w:rFonts w:ascii="Calibri" w:eastAsia="Palatino Linotype" w:hAnsi="Calibri" w:cs="Calibri"/>
        </w:rPr>
        <w:t xml:space="preserve"> on the Hamilton campus</w:t>
      </w:r>
      <w:r w:rsidR="00C4006E" w:rsidRPr="00D910F0">
        <w:rPr>
          <w:rFonts w:ascii="Calibri" w:eastAsia="Palatino Linotype" w:hAnsi="Calibri" w:cs="Calibri"/>
        </w:rPr>
        <w:t xml:space="preserve"> </w:t>
      </w:r>
      <w:r w:rsidR="00CC6788" w:rsidRPr="00D910F0">
        <w:rPr>
          <w:rFonts w:ascii="Calibri" w:eastAsia="Palatino Linotype" w:hAnsi="Calibri" w:cs="Calibri"/>
        </w:rPr>
        <w:t>now have</w:t>
      </w:r>
      <w:r w:rsidR="00C4006E" w:rsidRPr="00D910F0">
        <w:rPr>
          <w:rFonts w:ascii="Calibri" w:eastAsia="Palatino Linotype" w:hAnsi="Calibri" w:cs="Calibri"/>
        </w:rPr>
        <w:t xml:space="preserve"> accessible bathrooms (</w:t>
      </w:r>
      <w:r w:rsidR="001F4E43" w:rsidRPr="00D910F0">
        <w:rPr>
          <w:rFonts w:ascii="Calibri" w:eastAsia="Palatino Linotype" w:hAnsi="Calibri" w:cs="Calibri"/>
        </w:rPr>
        <w:t>one</w:t>
      </w:r>
      <w:r w:rsidR="00C4006E" w:rsidRPr="00D910F0">
        <w:rPr>
          <w:rFonts w:ascii="Calibri" w:eastAsia="Palatino Linotype" w:hAnsi="Calibri" w:cs="Calibri"/>
        </w:rPr>
        <w:t xml:space="preserve"> accessible to </w:t>
      </w:r>
      <w:r w:rsidR="001F4E43" w:rsidRPr="00D910F0">
        <w:rPr>
          <w:rFonts w:ascii="Calibri" w:eastAsia="Palatino Linotype" w:hAnsi="Calibri" w:cs="Calibri"/>
        </w:rPr>
        <w:t>six</w:t>
      </w:r>
      <w:r w:rsidR="00C4006E" w:rsidRPr="00D910F0">
        <w:rPr>
          <w:rFonts w:ascii="Calibri" w:eastAsia="Palatino Linotype" w:hAnsi="Calibri" w:cs="Calibri"/>
        </w:rPr>
        <w:t xml:space="preserve"> students in the Student Village fully-catered accommodation</w:t>
      </w:r>
      <w:r w:rsidR="000A3259">
        <w:rPr>
          <w:rFonts w:ascii="Calibri" w:eastAsia="Palatino Linotype" w:hAnsi="Calibri" w:cs="Calibri"/>
        </w:rPr>
        <w:t>,</w:t>
      </w:r>
      <w:r w:rsidR="00C4006E" w:rsidRPr="00D910F0">
        <w:rPr>
          <w:rFonts w:ascii="Calibri" w:eastAsia="Palatino Linotype" w:hAnsi="Calibri" w:cs="Calibri"/>
        </w:rPr>
        <w:t xml:space="preserve"> and </w:t>
      </w:r>
      <w:r w:rsidR="001F4E43" w:rsidRPr="00D910F0">
        <w:rPr>
          <w:rFonts w:ascii="Calibri" w:eastAsia="Palatino Linotype" w:hAnsi="Calibri" w:cs="Calibri"/>
        </w:rPr>
        <w:t>one</w:t>
      </w:r>
      <w:r w:rsidR="00C4006E" w:rsidRPr="00D910F0">
        <w:rPr>
          <w:rFonts w:ascii="Calibri" w:eastAsia="Palatino Linotype" w:hAnsi="Calibri" w:cs="Calibri"/>
        </w:rPr>
        <w:t xml:space="preserve"> available to a floor of </w:t>
      </w:r>
      <w:r w:rsidR="001F4E43" w:rsidRPr="00D910F0">
        <w:rPr>
          <w:rFonts w:ascii="Calibri" w:eastAsia="Palatino Linotype" w:hAnsi="Calibri" w:cs="Calibri"/>
        </w:rPr>
        <w:t>seven</w:t>
      </w:r>
      <w:r w:rsidR="00C4006E" w:rsidRPr="00D910F0">
        <w:rPr>
          <w:rFonts w:ascii="Calibri" w:eastAsia="Palatino Linotype" w:hAnsi="Calibri" w:cs="Calibri"/>
        </w:rPr>
        <w:t xml:space="preserve"> students in College Hall self-catered)</w:t>
      </w:r>
      <w:r w:rsidR="00CC6788" w:rsidRPr="00D910F0">
        <w:rPr>
          <w:rFonts w:ascii="Calibri" w:eastAsia="Palatino Linotype" w:hAnsi="Calibri" w:cs="Calibri"/>
        </w:rPr>
        <w:t xml:space="preserve">. Both </w:t>
      </w:r>
      <w:r w:rsidR="00C4006E" w:rsidRPr="00D910F0">
        <w:rPr>
          <w:rFonts w:ascii="Calibri" w:eastAsia="Palatino Linotype" w:hAnsi="Calibri" w:cs="Calibri"/>
        </w:rPr>
        <w:t xml:space="preserve">of these </w:t>
      </w:r>
      <w:r w:rsidR="00CC6788" w:rsidRPr="00D910F0">
        <w:rPr>
          <w:rFonts w:ascii="Calibri" w:eastAsia="Palatino Linotype" w:hAnsi="Calibri" w:cs="Calibri"/>
        </w:rPr>
        <w:t>have</w:t>
      </w:r>
      <w:r w:rsidR="00C4006E" w:rsidRPr="00D910F0">
        <w:rPr>
          <w:rFonts w:ascii="Calibri" w:eastAsia="Palatino Linotype" w:hAnsi="Calibri" w:cs="Calibri"/>
        </w:rPr>
        <w:t xml:space="preserve"> additional accessibility features</w:t>
      </w:r>
      <w:r w:rsidR="001F4E43" w:rsidRPr="00D910F0">
        <w:rPr>
          <w:rFonts w:ascii="Calibri" w:eastAsia="Palatino Linotype" w:hAnsi="Calibri" w:cs="Calibri"/>
        </w:rPr>
        <w:t>,</w:t>
      </w:r>
      <w:r w:rsidR="00C4006E" w:rsidRPr="00D910F0">
        <w:rPr>
          <w:rFonts w:ascii="Calibri" w:eastAsia="Palatino Linotype" w:hAnsi="Calibri" w:cs="Calibri"/>
        </w:rPr>
        <w:t xml:space="preserve"> e</w:t>
      </w:r>
      <w:r w:rsidR="00321D99" w:rsidRPr="00D910F0">
        <w:rPr>
          <w:rFonts w:ascii="Calibri" w:eastAsia="Palatino Linotype" w:hAnsi="Calibri" w:cs="Calibri"/>
        </w:rPr>
        <w:t>.</w:t>
      </w:r>
      <w:r w:rsidR="00C4006E" w:rsidRPr="00D910F0">
        <w:rPr>
          <w:rFonts w:ascii="Calibri" w:eastAsia="Palatino Linotype" w:hAnsi="Calibri" w:cs="Calibri"/>
        </w:rPr>
        <w:t>g</w:t>
      </w:r>
      <w:r w:rsidR="00321D99" w:rsidRPr="00D910F0">
        <w:rPr>
          <w:rFonts w:ascii="Calibri" w:eastAsia="Palatino Linotype" w:hAnsi="Calibri" w:cs="Calibri"/>
        </w:rPr>
        <w:t>.</w:t>
      </w:r>
      <w:r w:rsidR="001F4E43" w:rsidRPr="00D910F0">
        <w:rPr>
          <w:rFonts w:ascii="Calibri" w:eastAsia="Palatino Linotype" w:hAnsi="Calibri" w:cs="Calibri"/>
        </w:rPr>
        <w:t>,</w:t>
      </w:r>
      <w:r w:rsidR="00C4006E" w:rsidRPr="00D910F0">
        <w:rPr>
          <w:rFonts w:ascii="Calibri" w:eastAsia="Palatino Linotype" w:hAnsi="Calibri" w:cs="Calibri"/>
        </w:rPr>
        <w:t xml:space="preserve"> ramps into the buildings, automatic doors into the unit/floor and some door features (width - openings).</w:t>
      </w:r>
      <w:r w:rsidR="00CC6788" w:rsidRPr="00D910F0">
        <w:rPr>
          <w:rFonts w:ascii="Calibri" w:eastAsia="Palatino Linotype" w:hAnsi="Calibri" w:cs="Calibri"/>
        </w:rPr>
        <w:t xml:space="preserve"> </w:t>
      </w:r>
      <w:r w:rsidR="00C4006E" w:rsidRPr="00D910F0">
        <w:rPr>
          <w:rFonts w:ascii="Calibri" w:eastAsia="Palatino Linotype" w:hAnsi="Calibri" w:cs="Calibri"/>
        </w:rPr>
        <w:t xml:space="preserve">In Student </w:t>
      </w:r>
      <w:proofErr w:type="spellStart"/>
      <w:proofErr w:type="gramStart"/>
      <w:r w:rsidR="00C4006E" w:rsidRPr="00D910F0">
        <w:rPr>
          <w:rFonts w:ascii="Calibri" w:eastAsia="Palatino Linotype" w:hAnsi="Calibri" w:cs="Calibri"/>
        </w:rPr>
        <w:t>Village</w:t>
      </w:r>
      <w:r w:rsidR="000A3259">
        <w:rPr>
          <w:rFonts w:ascii="Calibri" w:eastAsia="Palatino Linotype" w:hAnsi="Calibri" w:cs="Calibri"/>
        </w:rPr>
        <w:t>,</w:t>
      </w:r>
      <w:r w:rsidR="00C4006E" w:rsidRPr="00D910F0">
        <w:rPr>
          <w:rFonts w:ascii="Calibri" w:eastAsia="Palatino Linotype" w:hAnsi="Calibri" w:cs="Calibri"/>
        </w:rPr>
        <w:t>accessible</w:t>
      </w:r>
      <w:proofErr w:type="spellEnd"/>
      <w:proofErr w:type="gramEnd"/>
      <w:r w:rsidR="00C4006E" w:rsidRPr="00D910F0">
        <w:rPr>
          <w:rFonts w:ascii="Calibri" w:eastAsia="Palatino Linotype" w:hAnsi="Calibri" w:cs="Calibri"/>
        </w:rPr>
        <w:t xml:space="preserve"> laundry services (not in the accommodation area) have also been arranged for students with disabilities who are unable to use the student laundry services.</w:t>
      </w:r>
      <w:r w:rsidR="00CC6788" w:rsidRPr="00D910F0">
        <w:rPr>
          <w:rFonts w:ascii="Calibri" w:eastAsia="Palatino Linotype" w:hAnsi="Calibri" w:cs="Calibri"/>
        </w:rPr>
        <w:t xml:space="preserve"> </w:t>
      </w:r>
      <w:r w:rsidR="000A3259">
        <w:rPr>
          <w:rFonts w:ascii="Calibri" w:eastAsia="Palatino Linotype" w:hAnsi="Calibri" w:cs="Calibri"/>
        </w:rPr>
        <w:t xml:space="preserve">Two units at the Orchard accommodation have been retro-fitted with some physical access features including ramps, wider doorways and larger </w:t>
      </w:r>
      <w:proofErr w:type="spellStart"/>
      <w:proofErr w:type="gramStart"/>
      <w:r w:rsidR="000A3259">
        <w:rPr>
          <w:rFonts w:ascii="Calibri" w:eastAsia="Palatino Linotype" w:hAnsi="Calibri" w:cs="Calibri"/>
        </w:rPr>
        <w:t>rooms.</w:t>
      </w:r>
      <w:r w:rsidR="0030125A" w:rsidRPr="00D910F0">
        <w:rPr>
          <w:rFonts w:ascii="Calibri" w:eastAsia="Palatino Linotype" w:hAnsi="Calibri" w:cs="Calibri"/>
        </w:rPr>
        <w:t>The</w:t>
      </w:r>
      <w:proofErr w:type="spellEnd"/>
      <w:proofErr w:type="gramEnd"/>
      <w:r w:rsidR="0030125A" w:rsidRPr="00D910F0">
        <w:rPr>
          <w:rFonts w:ascii="Calibri" w:eastAsia="Palatino Linotype" w:hAnsi="Calibri" w:cs="Calibri"/>
        </w:rPr>
        <w:t xml:space="preserve"> Selwyn Street Studios in Tauranga have </w:t>
      </w:r>
      <w:r w:rsidR="001F4E43" w:rsidRPr="00D910F0">
        <w:rPr>
          <w:rFonts w:ascii="Calibri" w:eastAsia="Palatino Linotype" w:hAnsi="Calibri" w:cs="Calibri"/>
        </w:rPr>
        <w:t>three</w:t>
      </w:r>
      <w:r w:rsidR="0030125A" w:rsidRPr="00D910F0">
        <w:rPr>
          <w:rFonts w:ascii="Calibri" w:eastAsia="Palatino Linotype" w:hAnsi="Calibri" w:cs="Calibri"/>
        </w:rPr>
        <w:t xml:space="preserve"> units with accessible </w:t>
      </w:r>
      <w:proofErr w:type="spellStart"/>
      <w:r w:rsidR="0030125A" w:rsidRPr="00D910F0">
        <w:rPr>
          <w:rFonts w:ascii="Calibri" w:eastAsia="Palatino Linotype" w:hAnsi="Calibri" w:cs="Calibri"/>
        </w:rPr>
        <w:t>en</w:t>
      </w:r>
      <w:proofErr w:type="spellEnd"/>
      <w:r w:rsidR="0030125A" w:rsidRPr="00D910F0">
        <w:rPr>
          <w:rFonts w:ascii="Calibri" w:eastAsia="Palatino Linotype" w:hAnsi="Calibri" w:cs="Calibri"/>
        </w:rPr>
        <w:t xml:space="preserve">-suite bathrooms and other accessibility features. </w:t>
      </w:r>
      <w:r w:rsidR="00452FF0">
        <w:rPr>
          <w:rFonts w:ascii="Calibri" w:eastAsia="Palatino Linotype" w:hAnsi="Calibri" w:cs="Calibri"/>
        </w:rPr>
        <w:t>Halls staff, including residential assistants, have a key role in supporting students with disabilities and ensuring that these students can be included in the social life of the halls.</w:t>
      </w:r>
    </w:p>
    <w:p w14:paraId="7C0A232E" w14:textId="77777777" w:rsidR="00452FF0" w:rsidRDefault="00452FF0" w:rsidP="0012782C">
      <w:pPr>
        <w:spacing w:after="0" w:line="240" w:lineRule="auto"/>
        <w:rPr>
          <w:rFonts w:ascii="Calibri" w:eastAsia="Palatino Linotype" w:hAnsi="Calibri" w:cs="Calibri"/>
        </w:rPr>
      </w:pPr>
    </w:p>
    <w:p w14:paraId="6D9B084E" w14:textId="21203464" w:rsidR="00654071" w:rsidRPr="00F658E7" w:rsidRDefault="00654071" w:rsidP="0012782C">
      <w:pPr>
        <w:pStyle w:val="Heading2"/>
        <w:spacing w:line="240" w:lineRule="auto"/>
        <w:rPr>
          <w:color w:val="auto"/>
        </w:rPr>
      </w:pPr>
      <w:bookmarkStart w:id="21" w:name="_Toc120609563"/>
      <w:r w:rsidRPr="00F658E7">
        <w:rPr>
          <w:color w:val="auto"/>
        </w:rPr>
        <w:t>2.5 Property Services</w:t>
      </w:r>
      <w:bookmarkEnd w:id="21"/>
    </w:p>
    <w:p w14:paraId="27ADA34D" w14:textId="77777777" w:rsidR="00452FF0" w:rsidRDefault="00682E0B" w:rsidP="0012782C">
      <w:pPr>
        <w:spacing w:line="240" w:lineRule="auto"/>
      </w:pPr>
      <w:r w:rsidRPr="00665B84">
        <w:t>Property services work across the University campuses to develop planning for property work, coordinate building of new building</w:t>
      </w:r>
      <w:r w:rsidR="001F4E43" w:rsidRPr="00D910F0">
        <w:t>s</w:t>
      </w:r>
      <w:r w:rsidRPr="00D910F0">
        <w:t>, and manage maintenance and refurbishments of existing buildings (and associated areas/environments). Over the years access audits have been undertaken at the University campuses and in particular in relation to new builds (e</w:t>
      </w:r>
      <w:r w:rsidR="001F4E43" w:rsidRPr="00D910F0">
        <w:t>.</w:t>
      </w:r>
      <w:r w:rsidRPr="00D910F0">
        <w:t>g</w:t>
      </w:r>
      <w:r w:rsidR="001F4E43" w:rsidRPr="00D910F0">
        <w:t>.,</w:t>
      </w:r>
      <w:r w:rsidRPr="00D910F0">
        <w:t xml:space="preserve"> the P</w:t>
      </w:r>
      <w:r w:rsidR="001F4E43" w:rsidRPr="00D910F0">
        <w:rPr>
          <w:lang w:val="mi-NZ"/>
        </w:rPr>
        <w:t>ā</w:t>
      </w:r>
      <w:r w:rsidRPr="00D910F0">
        <w:t xml:space="preserve"> and Tauranga campus). There is limited information available about the implementation and review of these audits. In practice there has been some ‘project specific’ stakeholder engagement about disability access, however</w:t>
      </w:r>
      <w:r w:rsidR="001F4E43" w:rsidRPr="00D910F0">
        <w:t>,</w:t>
      </w:r>
      <w:r w:rsidRPr="00D910F0">
        <w:t xml:space="preserve"> there is currently no ongoing stakeholder engagement with a focus on disability access for the ongoing work of Property Services</w:t>
      </w:r>
      <w:r w:rsidR="001F4E43" w:rsidRPr="00D910F0">
        <w:t>.</w:t>
      </w:r>
      <w:r w:rsidR="006C021B">
        <w:t xml:space="preserve"> </w:t>
      </w:r>
    </w:p>
    <w:p w14:paraId="0C3C05A3" w14:textId="4166D749" w:rsidR="00452FF0" w:rsidRDefault="00452FF0" w:rsidP="0012782C">
      <w:pPr>
        <w:spacing w:after="0" w:line="240" w:lineRule="auto"/>
        <w:rPr>
          <w:rFonts w:ascii="Calibri" w:eastAsia="Palatino Linotype" w:hAnsi="Calibri" w:cs="Calibri"/>
        </w:rPr>
      </w:pPr>
      <w:r>
        <w:rPr>
          <w:rFonts w:ascii="Calibri" w:eastAsia="Palatino Linotype" w:hAnsi="Calibri" w:cs="Calibri"/>
        </w:rPr>
        <w:t>The University has been focused on improving accessibility for students as it undertakes new builds and upgrades across its campuses. Genuine efforts have be</w:t>
      </w:r>
      <w:r w:rsidR="00C21708">
        <w:rPr>
          <w:rFonts w:ascii="Calibri" w:eastAsia="Palatino Linotype" w:hAnsi="Calibri" w:cs="Calibri"/>
        </w:rPr>
        <w:t>en</w:t>
      </w:r>
      <w:r>
        <w:rPr>
          <w:rFonts w:ascii="Calibri" w:eastAsia="Palatino Linotype" w:hAnsi="Calibri" w:cs="Calibri"/>
        </w:rPr>
        <w:t xml:space="preserve"> undertak</w:t>
      </w:r>
      <w:r w:rsidR="00C21708">
        <w:rPr>
          <w:rFonts w:ascii="Calibri" w:eastAsia="Palatino Linotype" w:hAnsi="Calibri" w:cs="Calibri"/>
        </w:rPr>
        <w:t>en</w:t>
      </w:r>
      <w:r>
        <w:rPr>
          <w:rFonts w:ascii="Calibri" w:eastAsia="Palatino Linotype" w:hAnsi="Calibri" w:cs="Calibri"/>
        </w:rPr>
        <w:t xml:space="preserve"> in the planning and design of new spaces to meet accessibility and inclusive learning and teaching needs. In designing new teaching </w:t>
      </w:r>
      <w:r w:rsidR="00FB38F9">
        <w:rPr>
          <w:rFonts w:ascii="Calibri" w:eastAsia="Palatino Linotype" w:hAnsi="Calibri" w:cs="Calibri"/>
        </w:rPr>
        <w:t>spaces,</w:t>
      </w:r>
      <w:r>
        <w:rPr>
          <w:rFonts w:ascii="Calibri" w:eastAsia="Palatino Linotype" w:hAnsi="Calibri" w:cs="Calibri"/>
        </w:rPr>
        <w:t xml:space="preserve"> we have also tried to meet the needs of staff with disabilities. </w:t>
      </w:r>
    </w:p>
    <w:p w14:paraId="0786359F" w14:textId="42C3BEDF" w:rsidR="00A616C6" w:rsidRDefault="00A616C6" w:rsidP="0012782C">
      <w:pPr>
        <w:spacing w:after="0" w:line="240" w:lineRule="auto"/>
        <w:rPr>
          <w:rFonts w:ascii="Calibri" w:eastAsia="Palatino Linotype" w:hAnsi="Calibri" w:cs="Calibri"/>
        </w:rPr>
      </w:pPr>
    </w:p>
    <w:p w14:paraId="09522A61" w14:textId="69860F97" w:rsidR="00A616C6" w:rsidRPr="00F658E7" w:rsidRDefault="00A616C6" w:rsidP="0012782C">
      <w:pPr>
        <w:pStyle w:val="Heading2"/>
        <w:spacing w:line="240" w:lineRule="auto"/>
        <w:rPr>
          <w:color w:val="auto"/>
        </w:rPr>
      </w:pPr>
      <w:bookmarkStart w:id="22" w:name="_Toc120609564"/>
      <w:r w:rsidRPr="00F658E7">
        <w:rPr>
          <w:color w:val="auto"/>
        </w:rPr>
        <w:t>2.</w:t>
      </w:r>
      <w:r>
        <w:rPr>
          <w:color w:val="auto"/>
        </w:rPr>
        <w:t>6</w:t>
      </w:r>
      <w:r w:rsidRPr="00F658E7">
        <w:rPr>
          <w:color w:val="auto"/>
        </w:rPr>
        <w:t xml:space="preserve"> </w:t>
      </w:r>
      <w:r>
        <w:rPr>
          <w:color w:val="auto"/>
        </w:rPr>
        <w:t>The Library</w:t>
      </w:r>
      <w:bookmarkEnd w:id="22"/>
    </w:p>
    <w:p w14:paraId="5E3D764D" w14:textId="2E7104D3" w:rsidR="00A616C6" w:rsidRPr="00A616C6" w:rsidRDefault="00A616C6" w:rsidP="0012782C">
      <w:pPr>
        <w:spacing w:after="0" w:line="240" w:lineRule="auto"/>
        <w:rPr>
          <w:rFonts w:eastAsia="Times New Roman" w:cstheme="minorHAnsi"/>
        </w:rPr>
      </w:pPr>
      <w:r w:rsidRPr="00A616C6">
        <w:rPr>
          <w:rFonts w:eastAsia="Times New Roman" w:cstheme="minorHAnsi"/>
        </w:rPr>
        <w:t xml:space="preserve">Access to </w:t>
      </w:r>
      <w:r>
        <w:rPr>
          <w:rFonts w:eastAsia="Times New Roman" w:cstheme="minorHAnsi"/>
        </w:rPr>
        <w:t>l</w:t>
      </w:r>
      <w:r w:rsidRPr="00A616C6">
        <w:rPr>
          <w:rFonts w:eastAsia="Times New Roman" w:cstheme="minorHAnsi"/>
        </w:rPr>
        <w:t xml:space="preserve">ibrary services is a key contributor to student success and the </w:t>
      </w:r>
      <w:r>
        <w:rPr>
          <w:rFonts w:eastAsia="Times New Roman" w:cstheme="minorHAnsi"/>
        </w:rPr>
        <w:t>L</w:t>
      </w:r>
      <w:r w:rsidRPr="00A616C6">
        <w:rPr>
          <w:rFonts w:eastAsia="Times New Roman" w:cstheme="minorHAnsi"/>
        </w:rPr>
        <w:t>ibrary continues to work on enabling access to library resources for disabled students.</w:t>
      </w:r>
      <w:r>
        <w:rPr>
          <w:rFonts w:eastAsia="Times New Roman" w:cstheme="minorHAnsi"/>
        </w:rPr>
        <w:t xml:space="preserve"> </w:t>
      </w:r>
      <w:r w:rsidRPr="00A616C6">
        <w:rPr>
          <w:rFonts w:eastAsia="Times New Roman" w:cstheme="minorHAnsi"/>
        </w:rPr>
        <w:t>Shelves have been lowered and the location of library stacks is designed to enable access by students in wheelchairs. Height adjustable desks, an array of different styles of furniture and 24/7 access to computer areas are provided along with zoned areas for noise/silence.</w:t>
      </w:r>
    </w:p>
    <w:p w14:paraId="76F04448" w14:textId="77777777" w:rsidR="00A616C6" w:rsidRPr="00A616C6" w:rsidRDefault="00A616C6" w:rsidP="0012782C">
      <w:pPr>
        <w:spacing w:after="0" w:line="240" w:lineRule="auto"/>
        <w:rPr>
          <w:rFonts w:eastAsia="Times New Roman" w:cstheme="minorHAnsi"/>
        </w:rPr>
      </w:pPr>
    </w:p>
    <w:p w14:paraId="47923B4D" w14:textId="45A36AD3" w:rsidR="00A616C6" w:rsidRPr="00A616C6" w:rsidRDefault="00A616C6" w:rsidP="0012782C">
      <w:pPr>
        <w:spacing w:after="0" w:line="240" w:lineRule="auto"/>
        <w:rPr>
          <w:rFonts w:eastAsia="Times New Roman" w:cstheme="minorHAnsi"/>
        </w:rPr>
      </w:pPr>
      <w:r w:rsidRPr="00A616C6">
        <w:rPr>
          <w:rFonts w:eastAsia="Times New Roman" w:cstheme="minorHAnsi"/>
        </w:rPr>
        <w:t xml:space="preserve">Online access to library resources is provided in a variety of formats and </w:t>
      </w:r>
      <w:r>
        <w:rPr>
          <w:rFonts w:eastAsia="Times New Roman" w:cstheme="minorHAnsi"/>
        </w:rPr>
        <w:t>the Library continues to work</w:t>
      </w:r>
      <w:r w:rsidRPr="00A616C6">
        <w:rPr>
          <w:rFonts w:eastAsia="Times New Roman" w:cstheme="minorHAnsi"/>
        </w:rPr>
        <w:t xml:space="preserve"> with publishers and platform providers for better access which will meet the needs of all users. </w:t>
      </w:r>
      <w:r>
        <w:rPr>
          <w:rFonts w:eastAsia="Times New Roman" w:cstheme="minorHAnsi"/>
        </w:rPr>
        <w:t>S</w:t>
      </w:r>
      <w:r w:rsidRPr="00A616C6">
        <w:rPr>
          <w:rFonts w:eastAsia="Times New Roman" w:cstheme="minorHAnsi"/>
        </w:rPr>
        <w:t>canned material and books sent by mail directly to the student are available. Flexibility with mode of consultation with librarians, in person or remotely with recorded workshops has been implemented with further reviews of service provision in progress.</w:t>
      </w:r>
    </w:p>
    <w:p w14:paraId="4FF9C686" w14:textId="77777777" w:rsidR="00A616C6" w:rsidRPr="00A616C6" w:rsidRDefault="00A616C6" w:rsidP="0012782C">
      <w:pPr>
        <w:spacing w:after="0" w:line="240" w:lineRule="auto"/>
        <w:rPr>
          <w:rFonts w:eastAsia="Times New Roman" w:cstheme="minorHAnsi"/>
        </w:rPr>
      </w:pPr>
    </w:p>
    <w:p w14:paraId="3C41DC72" w14:textId="222D79B9" w:rsidR="00A616C6" w:rsidRPr="00A616C6" w:rsidRDefault="00A616C6" w:rsidP="0012782C">
      <w:pPr>
        <w:spacing w:after="0" w:line="240" w:lineRule="auto"/>
        <w:rPr>
          <w:rFonts w:eastAsia="Times New Roman" w:cstheme="minorHAnsi"/>
        </w:rPr>
      </w:pPr>
      <w:r w:rsidRPr="00A616C6">
        <w:rPr>
          <w:rFonts w:eastAsia="Times New Roman" w:cstheme="minorHAnsi"/>
        </w:rPr>
        <w:t xml:space="preserve">The </w:t>
      </w:r>
      <w:r>
        <w:rPr>
          <w:rFonts w:eastAsia="Times New Roman" w:cstheme="minorHAnsi"/>
        </w:rPr>
        <w:t>L</w:t>
      </w:r>
      <w:r w:rsidRPr="00A616C6">
        <w:rPr>
          <w:rFonts w:eastAsia="Times New Roman" w:cstheme="minorHAnsi"/>
        </w:rPr>
        <w:t xml:space="preserve">ibrary has recently moved to a user centric approach where </w:t>
      </w:r>
      <w:r>
        <w:rPr>
          <w:rFonts w:eastAsia="Times New Roman" w:cstheme="minorHAnsi"/>
        </w:rPr>
        <w:t>it</w:t>
      </w:r>
      <w:r w:rsidRPr="00A616C6">
        <w:rPr>
          <w:rFonts w:eastAsia="Times New Roman" w:cstheme="minorHAnsi"/>
        </w:rPr>
        <w:t xml:space="preserve"> will be creating, refining and reviewing all library services and spaces using User Experience (UX) methodologies and design methods. This places the user at the heart of all </w:t>
      </w:r>
      <w:r>
        <w:rPr>
          <w:rFonts w:eastAsia="Times New Roman" w:cstheme="minorHAnsi"/>
        </w:rPr>
        <w:t>that the Library</w:t>
      </w:r>
      <w:r w:rsidRPr="00A616C6">
        <w:rPr>
          <w:rFonts w:eastAsia="Times New Roman" w:cstheme="minorHAnsi"/>
        </w:rPr>
        <w:t xml:space="preserve"> do</w:t>
      </w:r>
      <w:r>
        <w:rPr>
          <w:rFonts w:eastAsia="Times New Roman" w:cstheme="minorHAnsi"/>
        </w:rPr>
        <w:t>es</w:t>
      </w:r>
      <w:r w:rsidRPr="00A616C6">
        <w:rPr>
          <w:rFonts w:eastAsia="Times New Roman" w:cstheme="minorHAnsi"/>
        </w:rPr>
        <w:t xml:space="preserve"> and will </w:t>
      </w:r>
      <w:r>
        <w:rPr>
          <w:rFonts w:eastAsia="Times New Roman" w:cstheme="minorHAnsi"/>
        </w:rPr>
        <w:t xml:space="preserve">help to </w:t>
      </w:r>
      <w:r w:rsidRPr="00A616C6">
        <w:rPr>
          <w:rFonts w:eastAsia="Times New Roman" w:cstheme="minorHAnsi"/>
        </w:rPr>
        <w:t xml:space="preserve">ensure </w:t>
      </w:r>
      <w:r>
        <w:rPr>
          <w:rFonts w:eastAsia="Times New Roman" w:cstheme="minorHAnsi"/>
        </w:rPr>
        <w:t>it</w:t>
      </w:r>
      <w:r w:rsidRPr="00A616C6">
        <w:rPr>
          <w:rFonts w:eastAsia="Times New Roman" w:cstheme="minorHAnsi"/>
        </w:rPr>
        <w:t xml:space="preserve"> proactively </w:t>
      </w:r>
      <w:r>
        <w:rPr>
          <w:rFonts w:eastAsia="Times New Roman" w:cstheme="minorHAnsi"/>
        </w:rPr>
        <w:t xml:space="preserve">keeps </w:t>
      </w:r>
      <w:r w:rsidRPr="00A616C6">
        <w:rPr>
          <w:rFonts w:eastAsia="Times New Roman" w:cstheme="minorHAnsi"/>
        </w:rPr>
        <w:t>developing services and spaces which meet users</w:t>
      </w:r>
      <w:r>
        <w:rPr>
          <w:rFonts w:eastAsia="Times New Roman" w:cstheme="minorHAnsi"/>
        </w:rPr>
        <w:t>’</w:t>
      </w:r>
      <w:r w:rsidRPr="00A616C6">
        <w:rPr>
          <w:rFonts w:eastAsia="Times New Roman" w:cstheme="minorHAnsi"/>
        </w:rPr>
        <w:t xml:space="preserve"> needs.</w:t>
      </w:r>
    </w:p>
    <w:p w14:paraId="06983112" w14:textId="22ED03E6" w:rsidR="005970A5" w:rsidRPr="00F658E7" w:rsidRDefault="005C1C5A" w:rsidP="0012782C">
      <w:pPr>
        <w:pStyle w:val="Heading1"/>
        <w:spacing w:line="240" w:lineRule="auto"/>
        <w:rPr>
          <w:color w:val="auto"/>
        </w:rPr>
      </w:pPr>
      <w:bookmarkStart w:id="23" w:name="_Toc120609565"/>
      <w:r w:rsidRPr="00F658E7">
        <w:rPr>
          <w:color w:val="auto"/>
        </w:rPr>
        <w:t>3</w:t>
      </w:r>
      <w:r w:rsidR="005970A5" w:rsidRPr="00F658E7">
        <w:rPr>
          <w:color w:val="auto"/>
        </w:rPr>
        <w:t xml:space="preserve">. </w:t>
      </w:r>
      <w:r w:rsidRPr="00F658E7">
        <w:rPr>
          <w:color w:val="auto"/>
        </w:rPr>
        <w:t>Devising policies</w:t>
      </w:r>
      <w:bookmarkEnd w:id="23"/>
    </w:p>
    <w:p w14:paraId="63A85BEC" w14:textId="600224A4" w:rsidR="00F051C0" w:rsidRPr="00F22E21" w:rsidRDefault="00F051C0" w:rsidP="0012782C">
      <w:pPr>
        <w:pStyle w:val="Default"/>
        <w:rPr>
          <w:rFonts w:ascii="Calibri" w:eastAsia="Times New Roman" w:hAnsi="Calibri" w:cs="Calibri"/>
          <w:color w:val="auto"/>
          <w:spacing w:val="3"/>
          <w:sz w:val="22"/>
          <w:szCs w:val="22"/>
        </w:rPr>
      </w:pPr>
      <w:r w:rsidRPr="00665B84">
        <w:rPr>
          <w:rFonts w:ascii="Calibri" w:hAnsi="Calibri" w:cs="Calibri"/>
          <w:color w:val="auto"/>
          <w:sz w:val="22"/>
          <w:szCs w:val="22"/>
          <w:shd w:val="clear" w:color="auto" w:fill="FFFFFF"/>
        </w:rPr>
        <w:t xml:space="preserve">Work is </w:t>
      </w:r>
      <w:r w:rsidR="007B385A" w:rsidRPr="00665B84">
        <w:rPr>
          <w:rFonts w:ascii="Calibri" w:hAnsi="Calibri" w:cs="Calibri"/>
          <w:color w:val="auto"/>
          <w:sz w:val="22"/>
          <w:szCs w:val="22"/>
          <w:shd w:val="clear" w:color="auto" w:fill="FFFFFF"/>
        </w:rPr>
        <w:t xml:space="preserve">currently </w:t>
      </w:r>
      <w:r w:rsidRPr="00F22E21">
        <w:rPr>
          <w:rFonts w:ascii="Calibri" w:hAnsi="Calibri" w:cs="Calibri"/>
          <w:color w:val="auto"/>
          <w:sz w:val="22"/>
          <w:szCs w:val="22"/>
          <w:shd w:val="clear" w:color="auto" w:fill="FFFFFF"/>
        </w:rPr>
        <w:t xml:space="preserve">being </w:t>
      </w:r>
      <w:r w:rsidR="007B385A" w:rsidRPr="00F22E21">
        <w:rPr>
          <w:rFonts w:ascii="Calibri" w:hAnsi="Calibri" w:cs="Calibri"/>
          <w:color w:val="auto"/>
          <w:sz w:val="22"/>
          <w:szCs w:val="22"/>
          <w:shd w:val="clear" w:color="auto" w:fill="FFFFFF"/>
        </w:rPr>
        <w:t>carried out</w:t>
      </w:r>
      <w:r w:rsidRPr="00F22E21">
        <w:rPr>
          <w:rFonts w:ascii="Calibri" w:hAnsi="Calibri" w:cs="Calibri"/>
          <w:color w:val="auto"/>
          <w:sz w:val="22"/>
          <w:szCs w:val="22"/>
          <w:shd w:val="clear" w:color="auto" w:fill="FFFFFF"/>
        </w:rPr>
        <w:t xml:space="preserve"> by the Student Services Division, Accessibility Services Manager, Policy and Governance Manager, Depu</w:t>
      </w:r>
      <w:r w:rsidRPr="00D910F0">
        <w:rPr>
          <w:rFonts w:ascii="Calibri" w:hAnsi="Calibri" w:cs="Calibri"/>
          <w:color w:val="auto"/>
          <w:sz w:val="22"/>
          <w:szCs w:val="22"/>
          <w:shd w:val="clear" w:color="auto" w:fill="FFFFFF"/>
        </w:rPr>
        <w:t xml:space="preserve">ty Vice-Chancellor Academic and members of the DAP Working Group on a new Students with </w:t>
      </w:r>
      <w:r w:rsidR="003F7F19" w:rsidRPr="00D910F0">
        <w:rPr>
          <w:rFonts w:ascii="Calibri" w:hAnsi="Calibri" w:cs="Calibri"/>
          <w:color w:val="auto"/>
          <w:sz w:val="22"/>
          <w:szCs w:val="22"/>
          <w:shd w:val="clear" w:color="auto" w:fill="FFFFFF"/>
        </w:rPr>
        <w:t xml:space="preserve">Disabilities and </w:t>
      </w:r>
      <w:r w:rsidRPr="00D910F0">
        <w:rPr>
          <w:rFonts w:ascii="Calibri" w:hAnsi="Calibri" w:cs="Calibri"/>
          <w:color w:val="auto"/>
          <w:sz w:val="22"/>
          <w:szCs w:val="22"/>
          <w:shd w:val="clear" w:color="auto" w:fill="FFFFFF"/>
        </w:rPr>
        <w:t>Impairment policy</w:t>
      </w:r>
      <w:r w:rsidR="00067EA9" w:rsidRPr="00D910F0">
        <w:rPr>
          <w:rFonts w:ascii="Calibri" w:hAnsi="Calibri" w:cs="Calibri"/>
          <w:color w:val="auto"/>
          <w:sz w:val="22"/>
          <w:szCs w:val="22"/>
          <w:shd w:val="clear" w:color="auto" w:fill="FFFFFF"/>
        </w:rPr>
        <w:t xml:space="preserve"> (see Appendix #)</w:t>
      </w:r>
      <w:r w:rsidRPr="00D910F0">
        <w:rPr>
          <w:rFonts w:ascii="Calibri" w:hAnsi="Calibri" w:cs="Calibri"/>
          <w:color w:val="auto"/>
          <w:sz w:val="22"/>
          <w:szCs w:val="22"/>
          <w:shd w:val="clear" w:color="auto" w:fill="FFFFFF"/>
        </w:rPr>
        <w:t>. Th</w:t>
      </w:r>
      <w:r w:rsidR="005B3BE4" w:rsidRPr="00D910F0">
        <w:rPr>
          <w:rFonts w:ascii="Calibri" w:hAnsi="Calibri" w:cs="Calibri"/>
          <w:color w:val="auto"/>
          <w:sz w:val="22"/>
          <w:szCs w:val="22"/>
          <w:shd w:val="clear" w:color="auto" w:fill="FFFFFF"/>
        </w:rPr>
        <w:t>e</w:t>
      </w:r>
      <w:r w:rsidRPr="00D910F0">
        <w:rPr>
          <w:rFonts w:ascii="Calibri" w:hAnsi="Calibri" w:cs="Calibri"/>
          <w:color w:val="auto"/>
          <w:sz w:val="22"/>
          <w:szCs w:val="22"/>
          <w:shd w:val="clear" w:color="auto" w:fill="FFFFFF"/>
        </w:rPr>
        <w:t xml:space="preserve"> policy</w:t>
      </w:r>
      <w:r w:rsidR="00FB38F9">
        <w:rPr>
          <w:rFonts w:ascii="Calibri" w:hAnsi="Calibri" w:cs="Calibri"/>
          <w:color w:val="auto"/>
          <w:sz w:val="22"/>
          <w:szCs w:val="22"/>
          <w:shd w:val="clear" w:color="auto" w:fill="FFFFFF"/>
        </w:rPr>
        <w:t xml:space="preserve"> was</w:t>
      </w:r>
      <w:r w:rsidR="00FD2275" w:rsidRPr="00D910F0">
        <w:rPr>
          <w:rFonts w:ascii="Calibri" w:hAnsi="Calibri" w:cs="Calibri"/>
          <w:color w:val="auto"/>
          <w:sz w:val="22"/>
          <w:szCs w:val="22"/>
          <w:shd w:val="clear" w:color="auto" w:fill="FFFFFF"/>
        </w:rPr>
        <w:t xml:space="preserve"> informed by disabled students </w:t>
      </w:r>
      <w:r w:rsidR="005C2BB8" w:rsidRPr="00D910F0">
        <w:rPr>
          <w:rFonts w:ascii="Calibri" w:hAnsi="Calibri" w:cs="Calibri"/>
          <w:color w:val="auto"/>
          <w:sz w:val="22"/>
          <w:szCs w:val="22"/>
          <w:shd w:val="clear" w:color="auto" w:fill="FFFFFF"/>
        </w:rPr>
        <w:t>and has been subject to consultation with the wider University community</w:t>
      </w:r>
      <w:r w:rsidRPr="00D910F0">
        <w:rPr>
          <w:rFonts w:ascii="Calibri" w:hAnsi="Calibri" w:cs="Calibri"/>
          <w:color w:val="auto"/>
          <w:sz w:val="22"/>
          <w:szCs w:val="22"/>
          <w:shd w:val="clear" w:color="auto" w:fill="FFFFFF"/>
        </w:rPr>
        <w:t xml:space="preserve">. </w:t>
      </w:r>
      <w:r w:rsidR="003F7F19" w:rsidRPr="00D910F0">
        <w:rPr>
          <w:rFonts w:ascii="Calibri" w:hAnsi="Calibri" w:cs="Calibri"/>
          <w:color w:val="auto"/>
          <w:sz w:val="22"/>
          <w:szCs w:val="22"/>
          <w:shd w:val="clear" w:color="auto" w:fill="FFFFFF"/>
        </w:rPr>
        <w:t>Its purpose is to “</w:t>
      </w:r>
      <w:r w:rsidR="003F7F19" w:rsidRPr="00F658E7">
        <w:rPr>
          <w:rFonts w:ascii="Calibri" w:hAnsi="Calibri" w:cs="Calibri"/>
          <w:color w:val="auto"/>
          <w:sz w:val="22"/>
          <w:szCs w:val="22"/>
        </w:rPr>
        <w:t>outline principles and practices to enable full and equal access and inclusion for disabled students through the supports and services available to them at the University of Waikato”</w:t>
      </w:r>
      <w:r w:rsidR="00EB6420" w:rsidRPr="00665B84">
        <w:rPr>
          <w:rFonts w:ascii="Calibri" w:hAnsi="Calibri" w:cs="Calibri"/>
          <w:color w:val="auto"/>
          <w:sz w:val="22"/>
          <w:szCs w:val="22"/>
          <w:shd w:val="clear" w:color="auto" w:fill="FFFFFF"/>
        </w:rPr>
        <w:t>.</w:t>
      </w:r>
    </w:p>
    <w:p w14:paraId="2D3C34EF" w14:textId="1F3D1A90" w:rsidR="005C1C5A" w:rsidRPr="00F658E7" w:rsidRDefault="005C1C5A" w:rsidP="0012782C">
      <w:pPr>
        <w:pStyle w:val="Heading1"/>
        <w:spacing w:line="240" w:lineRule="auto"/>
        <w:rPr>
          <w:color w:val="auto"/>
        </w:rPr>
      </w:pPr>
      <w:bookmarkStart w:id="24" w:name="_Toc120609566"/>
      <w:r w:rsidRPr="00F658E7">
        <w:rPr>
          <w:color w:val="auto"/>
        </w:rPr>
        <w:t xml:space="preserve">4. </w:t>
      </w:r>
      <w:r w:rsidR="0048013D" w:rsidRPr="00F658E7">
        <w:rPr>
          <w:color w:val="auto"/>
        </w:rPr>
        <w:t>Objectives</w:t>
      </w:r>
      <w:r w:rsidR="00540AA9" w:rsidRPr="00F658E7">
        <w:rPr>
          <w:color w:val="auto"/>
        </w:rPr>
        <w:t xml:space="preserve"> of the DAP</w:t>
      </w:r>
      <w:bookmarkEnd w:id="24"/>
    </w:p>
    <w:p w14:paraId="7C2859A8" w14:textId="1CDD7DFA" w:rsidR="005C1C5A" w:rsidRPr="00F658E7" w:rsidRDefault="005C1C5A" w:rsidP="0012782C">
      <w:pPr>
        <w:pStyle w:val="Default"/>
        <w:rPr>
          <w:rFonts w:ascii="Calibri" w:hAnsi="Calibri" w:cs="Calibri"/>
          <w:color w:val="auto"/>
          <w:sz w:val="22"/>
          <w:szCs w:val="22"/>
        </w:rPr>
      </w:pPr>
      <w:r w:rsidRPr="00F658E7">
        <w:rPr>
          <w:rFonts w:ascii="Calibri" w:hAnsi="Calibri" w:cs="Calibri"/>
          <w:color w:val="auto"/>
          <w:sz w:val="22"/>
          <w:szCs w:val="22"/>
        </w:rPr>
        <w:t xml:space="preserve">The DAP Working Group identified </w:t>
      </w:r>
      <w:r w:rsidR="002A3E09" w:rsidRPr="00F658E7">
        <w:rPr>
          <w:rFonts w:ascii="Calibri" w:hAnsi="Calibri" w:cs="Calibri"/>
          <w:color w:val="auto"/>
          <w:sz w:val="22"/>
          <w:szCs w:val="22"/>
        </w:rPr>
        <w:t>five</w:t>
      </w:r>
      <w:r w:rsidRPr="00F658E7">
        <w:rPr>
          <w:rFonts w:ascii="Calibri" w:hAnsi="Calibri" w:cs="Calibri"/>
          <w:color w:val="auto"/>
          <w:sz w:val="22"/>
          <w:szCs w:val="22"/>
        </w:rPr>
        <w:t xml:space="preserve"> main </w:t>
      </w:r>
      <w:r w:rsidR="00A6012B" w:rsidRPr="00F658E7">
        <w:rPr>
          <w:rFonts w:ascii="Calibri" w:hAnsi="Calibri" w:cs="Calibri"/>
          <w:color w:val="auto"/>
          <w:sz w:val="22"/>
          <w:szCs w:val="22"/>
        </w:rPr>
        <w:t>objectives</w:t>
      </w:r>
      <w:r w:rsidRPr="00F658E7">
        <w:rPr>
          <w:rFonts w:ascii="Calibri" w:hAnsi="Calibri" w:cs="Calibri"/>
          <w:color w:val="auto"/>
          <w:sz w:val="22"/>
          <w:szCs w:val="22"/>
        </w:rPr>
        <w:t xml:space="preserve"> that </w:t>
      </w:r>
      <w:r w:rsidR="007B385A" w:rsidRPr="00F658E7">
        <w:rPr>
          <w:rFonts w:ascii="Calibri" w:hAnsi="Calibri" w:cs="Calibri"/>
          <w:color w:val="auto"/>
          <w:sz w:val="22"/>
          <w:szCs w:val="22"/>
        </w:rPr>
        <w:t>the University</w:t>
      </w:r>
      <w:r w:rsidRPr="00F658E7">
        <w:rPr>
          <w:rFonts w:ascii="Calibri" w:hAnsi="Calibri" w:cs="Calibri"/>
          <w:color w:val="auto"/>
          <w:sz w:val="22"/>
          <w:szCs w:val="22"/>
        </w:rPr>
        <w:t xml:space="preserve"> aim</w:t>
      </w:r>
      <w:r w:rsidR="007B385A" w:rsidRPr="00F658E7">
        <w:rPr>
          <w:rFonts w:ascii="Calibri" w:hAnsi="Calibri" w:cs="Calibri"/>
          <w:color w:val="auto"/>
          <w:sz w:val="22"/>
          <w:szCs w:val="22"/>
        </w:rPr>
        <w:t>s</w:t>
      </w:r>
      <w:r w:rsidRPr="00F658E7">
        <w:rPr>
          <w:rFonts w:ascii="Calibri" w:hAnsi="Calibri" w:cs="Calibri"/>
          <w:color w:val="auto"/>
          <w:sz w:val="22"/>
          <w:szCs w:val="22"/>
        </w:rPr>
        <w:t xml:space="preserve"> </w:t>
      </w:r>
      <w:r w:rsidR="0028039B" w:rsidRPr="00F658E7">
        <w:rPr>
          <w:rFonts w:ascii="Calibri" w:hAnsi="Calibri" w:cs="Calibri"/>
          <w:color w:val="auto"/>
          <w:sz w:val="22"/>
          <w:szCs w:val="22"/>
        </w:rPr>
        <w:t xml:space="preserve">to </w:t>
      </w:r>
      <w:r w:rsidR="005C2BB8" w:rsidRPr="00F658E7">
        <w:rPr>
          <w:rFonts w:ascii="Calibri" w:hAnsi="Calibri" w:cs="Calibri"/>
          <w:color w:val="auto"/>
          <w:sz w:val="22"/>
          <w:szCs w:val="22"/>
        </w:rPr>
        <w:t xml:space="preserve">progress </w:t>
      </w:r>
      <w:r w:rsidRPr="00F658E7">
        <w:rPr>
          <w:rFonts w:ascii="Calibri" w:hAnsi="Calibri" w:cs="Calibri"/>
          <w:color w:val="auto"/>
          <w:sz w:val="22"/>
          <w:szCs w:val="22"/>
        </w:rPr>
        <w:t xml:space="preserve">over the duration of the Plan. </w:t>
      </w:r>
      <w:r w:rsidR="00233AF9">
        <w:rPr>
          <w:rFonts w:ascii="Calibri" w:hAnsi="Calibri" w:cs="Calibri"/>
          <w:color w:val="auto"/>
          <w:sz w:val="22"/>
          <w:szCs w:val="22"/>
        </w:rPr>
        <w:t xml:space="preserve">The University is committed to a whole-of-University focus on progressing these </w:t>
      </w:r>
      <w:r w:rsidR="002A3E09" w:rsidRPr="00F658E7">
        <w:rPr>
          <w:rFonts w:ascii="Calibri" w:hAnsi="Calibri" w:cs="Calibri"/>
          <w:color w:val="auto"/>
          <w:sz w:val="22"/>
          <w:szCs w:val="22"/>
        </w:rPr>
        <w:t>five</w:t>
      </w:r>
      <w:r w:rsidRPr="00F658E7">
        <w:rPr>
          <w:rFonts w:ascii="Calibri" w:hAnsi="Calibri" w:cs="Calibri"/>
          <w:color w:val="auto"/>
          <w:sz w:val="22"/>
          <w:szCs w:val="22"/>
        </w:rPr>
        <w:t xml:space="preserve"> </w:t>
      </w:r>
      <w:r w:rsidR="00A6012B" w:rsidRPr="00F658E7">
        <w:rPr>
          <w:rFonts w:ascii="Calibri" w:hAnsi="Calibri" w:cs="Calibri"/>
          <w:color w:val="auto"/>
          <w:sz w:val="22"/>
          <w:szCs w:val="22"/>
        </w:rPr>
        <w:t xml:space="preserve">objectives and </w:t>
      </w:r>
      <w:r w:rsidR="00233AF9">
        <w:rPr>
          <w:rFonts w:ascii="Calibri" w:hAnsi="Calibri" w:cs="Calibri"/>
          <w:color w:val="auto"/>
          <w:sz w:val="22"/>
          <w:szCs w:val="22"/>
        </w:rPr>
        <w:t xml:space="preserve">it is recognised that </w:t>
      </w:r>
      <w:r w:rsidR="0028039B" w:rsidRPr="00F658E7">
        <w:rPr>
          <w:rFonts w:ascii="Calibri" w:hAnsi="Calibri" w:cs="Calibri"/>
          <w:color w:val="auto"/>
          <w:sz w:val="22"/>
          <w:szCs w:val="22"/>
        </w:rPr>
        <w:t>a degree of focus</w:t>
      </w:r>
      <w:r w:rsidR="00067EA9" w:rsidRPr="00F658E7">
        <w:rPr>
          <w:rFonts w:ascii="Calibri" w:hAnsi="Calibri" w:cs="Calibri"/>
          <w:color w:val="auto"/>
          <w:sz w:val="22"/>
          <w:szCs w:val="22"/>
        </w:rPr>
        <w:t xml:space="preserve"> and resourcing</w:t>
      </w:r>
      <w:r w:rsidR="00A6012B" w:rsidRPr="00F658E7">
        <w:rPr>
          <w:rFonts w:ascii="Calibri" w:hAnsi="Calibri" w:cs="Calibri"/>
          <w:color w:val="auto"/>
          <w:sz w:val="22"/>
          <w:szCs w:val="22"/>
        </w:rPr>
        <w:t xml:space="preserve"> will be required </w:t>
      </w:r>
      <w:r w:rsidR="0028039B" w:rsidRPr="00F658E7">
        <w:rPr>
          <w:rFonts w:ascii="Calibri" w:hAnsi="Calibri" w:cs="Calibri"/>
          <w:color w:val="auto"/>
          <w:sz w:val="22"/>
          <w:szCs w:val="22"/>
        </w:rPr>
        <w:t>in order to</w:t>
      </w:r>
      <w:r w:rsidR="00A6012B" w:rsidRPr="00F658E7">
        <w:rPr>
          <w:rFonts w:ascii="Calibri" w:hAnsi="Calibri" w:cs="Calibri"/>
          <w:color w:val="auto"/>
          <w:sz w:val="22"/>
          <w:szCs w:val="22"/>
        </w:rPr>
        <w:t xml:space="preserve"> achieve them. However, </w:t>
      </w:r>
      <w:r w:rsidR="0028039B" w:rsidRPr="00F658E7">
        <w:rPr>
          <w:rFonts w:ascii="Calibri" w:hAnsi="Calibri" w:cs="Calibri"/>
          <w:color w:val="auto"/>
          <w:sz w:val="22"/>
          <w:szCs w:val="22"/>
        </w:rPr>
        <w:t>having these objectives</w:t>
      </w:r>
      <w:r w:rsidRPr="00F658E7">
        <w:rPr>
          <w:rFonts w:ascii="Calibri" w:hAnsi="Calibri" w:cs="Calibri"/>
          <w:color w:val="auto"/>
          <w:sz w:val="22"/>
          <w:szCs w:val="22"/>
        </w:rPr>
        <w:t xml:space="preserve"> </w:t>
      </w:r>
      <w:r w:rsidR="00FD2275" w:rsidRPr="00F658E7">
        <w:rPr>
          <w:rFonts w:ascii="Calibri" w:hAnsi="Calibri" w:cs="Calibri"/>
          <w:color w:val="auto"/>
          <w:sz w:val="22"/>
          <w:szCs w:val="22"/>
        </w:rPr>
        <w:t xml:space="preserve">will </w:t>
      </w:r>
      <w:r w:rsidRPr="00F658E7">
        <w:rPr>
          <w:rFonts w:ascii="Calibri" w:hAnsi="Calibri" w:cs="Calibri"/>
          <w:color w:val="auto"/>
          <w:sz w:val="22"/>
          <w:szCs w:val="22"/>
        </w:rPr>
        <w:t xml:space="preserve">not preclude the University from also undertaking other work on other tasks </w:t>
      </w:r>
      <w:r w:rsidR="00A6012B" w:rsidRPr="00F658E7">
        <w:rPr>
          <w:rFonts w:ascii="Calibri" w:hAnsi="Calibri" w:cs="Calibri"/>
          <w:color w:val="auto"/>
          <w:sz w:val="22"/>
          <w:szCs w:val="22"/>
        </w:rPr>
        <w:t xml:space="preserve">that </w:t>
      </w:r>
      <w:r w:rsidR="0028039B" w:rsidRPr="00F658E7">
        <w:rPr>
          <w:rFonts w:ascii="Calibri" w:hAnsi="Calibri" w:cs="Calibri"/>
          <w:color w:val="auto"/>
          <w:sz w:val="22"/>
          <w:szCs w:val="22"/>
        </w:rPr>
        <w:t>might over the course of the Plan become important to address.</w:t>
      </w:r>
      <w:r w:rsidR="00067EA9" w:rsidRPr="00F658E7">
        <w:rPr>
          <w:rFonts w:ascii="Calibri" w:hAnsi="Calibri" w:cs="Calibri"/>
          <w:color w:val="auto"/>
          <w:sz w:val="22"/>
          <w:szCs w:val="22"/>
        </w:rPr>
        <w:t xml:space="preserve"> Underpinning the actioning of this </w:t>
      </w:r>
      <w:r w:rsidR="00C21708">
        <w:rPr>
          <w:rFonts w:ascii="Calibri" w:hAnsi="Calibri" w:cs="Calibri"/>
          <w:color w:val="auto"/>
          <w:sz w:val="22"/>
          <w:szCs w:val="22"/>
        </w:rPr>
        <w:t>P</w:t>
      </w:r>
      <w:r w:rsidR="00C21708" w:rsidRPr="00F658E7">
        <w:rPr>
          <w:rFonts w:ascii="Calibri" w:hAnsi="Calibri" w:cs="Calibri"/>
          <w:color w:val="auto"/>
          <w:sz w:val="22"/>
          <w:szCs w:val="22"/>
        </w:rPr>
        <w:t xml:space="preserve">lan </w:t>
      </w:r>
      <w:r w:rsidR="00067EA9" w:rsidRPr="00F658E7">
        <w:rPr>
          <w:rFonts w:ascii="Calibri" w:hAnsi="Calibri" w:cs="Calibri"/>
          <w:color w:val="auto"/>
          <w:sz w:val="22"/>
          <w:szCs w:val="22"/>
        </w:rPr>
        <w:t>is a commitment to, and support of disabled students’ ongoing participation as advisors, advocates and partners in the DAP.</w:t>
      </w:r>
    </w:p>
    <w:p w14:paraId="4FD12070" w14:textId="77777777" w:rsidR="005C1C5A" w:rsidRPr="00F658E7" w:rsidRDefault="005C1C5A" w:rsidP="0012782C">
      <w:pPr>
        <w:pStyle w:val="Default"/>
        <w:rPr>
          <w:rFonts w:ascii="Calibri" w:hAnsi="Calibri" w:cs="Calibri"/>
          <w:color w:val="auto"/>
          <w:sz w:val="22"/>
          <w:szCs w:val="22"/>
        </w:rPr>
      </w:pPr>
    </w:p>
    <w:p w14:paraId="7AF9D4A6" w14:textId="561B15EA" w:rsidR="00282EB9" w:rsidRPr="00F658E7" w:rsidRDefault="0048013D" w:rsidP="0012782C">
      <w:pPr>
        <w:pStyle w:val="Heading2"/>
        <w:spacing w:line="240" w:lineRule="auto"/>
        <w:rPr>
          <w:color w:val="auto"/>
        </w:rPr>
      </w:pPr>
      <w:bookmarkStart w:id="25" w:name="_Toc120609567"/>
      <w:r w:rsidRPr="00F658E7">
        <w:rPr>
          <w:color w:val="auto"/>
        </w:rPr>
        <w:t xml:space="preserve">OBJECTIVE </w:t>
      </w:r>
      <w:r w:rsidR="005C1C5A" w:rsidRPr="00F658E7">
        <w:rPr>
          <w:color w:val="auto"/>
        </w:rPr>
        <w:t>1</w:t>
      </w:r>
      <w:r w:rsidR="00D56F26" w:rsidRPr="00F658E7">
        <w:rPr>
          <w:color w:val="auto"/>
        </w:rPr>
        <w:t>:</w:t>
      </w:r>
      <w:r w:rsidR="005C1C5A" w:rsidRPr="00F658E7">
        <w:rPr>
          <w:color w:val="auto"/>
        </w:rPr>
        <w:t xml:space="preserve"> </w:t>
      </w:r>
      <w:r w:rsidR="00B144A2" w:rsidRPr="00F658E7">
        <w:rPr>
          <w:color w:val="auto"/>
        </w:rPr>
        <w:t>BE AN INCLUSIVE, SAFE AND WELCOMING UNIVERSITY</w:t>
      </w:r>
      <w:bookmarkEnd w:id="25"/>
    </w:p>
    <w:p w14:paraId="16C26A72" w14:textId="5E9061F1" w:rsidR="005C1C5A" w:rsidRPr="00F658E7" w:rsidRDefault="001B2BC2" w:rsidP="0012782C">
      <w:pPr>
        <w:pStyle w:val="Default"/>
        <w:rPr>
          <w:rFonts w:ascii="Calibri" w:hAnsi="Calibri" w:cs="Calibri"/>
          <w:color w:val="auto"/>
          <w:sz w:val="22"/>
          <w:szCs w:val="22"/>
        </w:rPr>
      </w:pPr>
      <w:r w:rsidRPr="00F658E7">
        <w:rPr>
          <w:rFonts w:ascii="Calibri" w:hAnsi="Calibri" w:cs="Calibri"/>
          <w:color w:val="auto"/>
          <w:sz w:val="22"/>
          <w:szCs w:val="22"/>
        </w:rPr>
        <w:t>It is vital that the University</w:t>
      </w:r>
      <w:r w:rsidR="000914A4" w:rsidRPr="00F658E7">
        <w:rPr>
          <w:rFonts w:ascii="Calibri" w:hAnsi="Calibri" w:cs="Calibri"/>
          <w:color w:val="auto"/>
          <w:sz w:val="22"/>
          <w:szCs w:val="22"/>
        </w:rPr>
        <w:t xml:space="preserve"> of Waikato</w:t>
      </w:r>
      <w:r w:rsidR="00654071" w:rsidRPr="00F658E7">
        <w:rPr>
          <w:rFonts w:ascii="Calibri" w:hAnsi="Calibri" w:cs="Calibri"/>
          <w:color w:val="auto"/>
          <w:sz w:val="22"/>
          <w:szCs w:val="22"/>
        </w:rPr>
        <w:t xml:space="preserve"> </w:t>
      </w:r>
      <w:r w:rsidRPr="00F658E7">
        <w:rPr>
          <w:rFonts w:ascii="Calibri" w:hAnsi="Calibri" w:cs="Calibri"/>
          <w:color w:val="auto"/>
          <w:sz w:val="22"/>
          <w:szCs w:val="22"/>
        </w:rPr>
        <w:t xml:space="preserve">provides a safe and </w:t>
      </w:r>
      <w:r w:rsidR="00F21361" w:rsidRPr="00F658E7">
        <w:rPr>
          <w:rFonts w:ascii="Calibri" w:hAnsi="Calibri" w:cs="Calibri"/>
          <w:color w:val="auto"/>
          <w:sz w:val="22"/>
          <w:szCs w:val="22"/>
        </w:rPr>
        <w:t xml:space="preserve">welcoming </w:t>
      </w:r>
      <w:r w:rsidRPr="00F658E7">
        <w:rPr>
          <w:rFonts w:ascii="Calibri" w:hAnsi="Calibri" w:cs="Calibri"/>
          <w:color w:val="auto"/>
          <w:sz w:val="22"/>
          <w:szCs w:val="22"/>
        </w:rPr>
        <w:t xml:space="preserve">environment </w:t>
      </w:r>
      <w:r w:rsidR="00FD2275" w:rsidRPr="00F658E7">
        <w:rPr>
          <w:rFonts w:ascii="Calibri" w:hAnsi="Calibri" w:cs="Calibri"/>
          <w:color w:val="auto"/>
          <w:sz w:val="22"/>
          <w:szCs w:val="22"/>
        </w:rPr>
        <w:t>for all</w:t>
      </w:r>
      <w:r w:rsidR="000534F3" w:rsidRPr="00F658E7">
        <w:rPr>
          <w:rFonts w:ascii="Calibri" w:hAnsi="Calibri" w:cs="Calibri"/>
          <w:color w:val="auto"/>
          <w:sz w:val="22"/>
          <w:szCs w:val="22"/>
        </w:rPr>
        <w:t xml:space="preserve">. An important principle of inclusion is that all people know they belong in the spaces, places and activities that form the particular environment. Belonging at University, according to a recent article in </w:t>
      </w:r>
      <w:r w:rsidR="000534F3" w:rsidRPr="00F658E7">
        <w:rPr>
          <w:rFonts w:ascii="Calibri" w:hAnsi="Calibri" w:cs="Calibri"/>
          <w:i/>
          <w:iCs/>
          <w:color w:val="auto"/>
          <w:sz w:val="22"/>
          <w:szCs w:val="22"/>
        </w:rPr>
        <w:t>Times Higher Education</w:t>
      </w:r>
      <w:r w:rsidR="000534F3" w:rsidRPr="00F658E7">
        <w:rPr>
          <w:rFonts w:ascii="Calibri" w:hAnsi="Calibri" w:cs="Calibri"/>
          <w:color w:val="auto"/>
          <w:sz w:val="22"/>
          <w:szCs w:val="22"/>
        </w:rPr>
        <w:t xml:space="preserve"> asks ‘Does everyone on campus feel valued, connected and able to be their authentic self</w:t>
      </w:r>
      <w:r w:rsidR="001F4E43" w:rsidRPr="00F658E7">
        <w:rPr>
          <w:rFonts w:ascii="Calibri" w:hAnsi="Calibri" w:cs="Calibri"/>
          <w:color w:val="auto"/>
          <w:sz w:val="22"/>
          <w:szCs w:val="22"/>
        </w:rPr>
        <w:t>’</w:t>
      </w:r>
      <w:r w:rsidR="000534F3" w:rsidRPr="00F658E7">
        <w:rPr>
          <w:rFonts w:ascii="Calibri" w:hAnsi="Calibri" w:cs="Calibri"/>
          <w:color w:val="auto"/>
          <w:sz w:val="22"/>
          <w:szCs w:val="22"/>
        </w:rPr>
        <w:t>? (</w:t>
      </w:r>
      <w:hyperlink r:id="rId18" w:history="1">
        <w:r w:rsidR="000534F3" w:rsidRPr="00F658E7">
          <w:rPr>
            <w:rStyle w:val="Hyperlink"/>
            <w:rFonts w:ascii="Calibri" w:hAnsi="Calibri" w:cs="Calibri"/>
            <w:color w:val="auto"/>
            <w:sz w:val="22"/>
            <w:szCs w:val="22"/>
          </w:rPr>
          <w:t>West, 2022</w:t>
        </w:r>
      </w:hyperlink>
      <w:r w:rsidR="00B144A2" w:rsidRPr="00F658E7">
        <w:rPr>
          <w:rFonts w:ascii="Calibri" w:hAnsi="Calibri" w:cs="Calibri"/>
          <w:color w:val="auto"/>
          <w:sz w:val="22"/>
          <w:szCs w:val="22"/>
        </w:rPr>
        <w:t xml:space="preserve">). </w:t>
      </w:r>
      <w:r w:rsidR="000914A4" w:rsidRPr="00F658E7">
        <w:rPr>
          <w:rFonts w:ascii="Calibri" w:hAnsi="Calibri" w:cs="Calibri"/>
          <w:color w:val="auto"/>
          <w:sz w:val="22"/>
          <w:szCs w:val="22"/>
        </w:rPr>
        <w:t>Putting</w:t>
      </w:r>
      <w:r w:rsidR="00084245" w:rsidRPr="00F658E7">
        <w:rPr>
          <w:rFonts w:ascii="Calibri" w:hAnsi="Calibri" w:cs="Calibri"/>
          <w:color w:val="auto"/>
          <w:sz w:val="22"/>
          <w:szCs w:val="22"/>
        </w:rPr>
        <w:t xml:space="preserve"> </w:t>
      </w:r>
      <w:r w:rsidR="00F21361" w:rsidRPr="00F658E7">
        <w:rPr>
          <w:rFonts w:ascii="Calibri" w:hAnsi="Calibri" w:cs="Calibri"/>
          <w:color w:val="auto"/>
          <w:sz w:val="22"/>
          <w:szCs w:val="22"/>
        </w:rPr>
        <w:t xml:space="preserve">learners at the centre of </w:t>
      </w:r>
      <w:r w:rsidR="000534F3" w:rsidRPr="00F658E7">
        <w:rPr>
          <w:rFonts w:ascii="Calibri" w:hAnsi="Calibri" w:cs="Calibri"/>
          <w:color w:val="auto"/>
          <w:sz w:val="22"/>
          <w:szCs w:val="22"/>
        </w:rPr>
        <w:t xml:space="preserve">everything that is the work of the University </w:t>
      </w:r>
      <w:r w:rsidR="00F21361" w:rsidRPr="00F658E7">
        <w:rPr>
          <w:rFonts w:ascii="Calibri" w:hAnsi="Calibri" w:cs="Calibri"/>
          <w:color w:val="auto"/>
          <w:sz w:val="22"/>
          <w:szCs w:val="22"/>
        </w:rPr>
        <w:t>will</w:t>
      </w:r>
      <w:r w:rsidR="000534F3" w:rsidRPr="00F658E7">
        <w:rPr>
          <w:rFonts w:ascii="Calibri" w:hAnsi="Calibri" w:cs="Calibri"/>
          <w:color w:val="auto"/>
          <w:sz w:val="22"/>
          <w:szCs w:val="22"/>
        </w:rPr>
        <w:t xml:space="preserve"> inform approaches that reflect and articulate what belonging looks</w:t>
      </w:r>
      <w:r w:rsidR="006C684E" w:rsidRPr="00F658E7">
        <w:rPr>
          <w:rFonts w:ascii="Calibri" w:hAnsi="Calibri" w:cs="Calibri"/>
          <w:color w:val="auto"/>
          <w:sz w:val="22"/>
          <w:szCs w:val="22"/>
        </w:rPr>
        <w:t xml:space="preserve"> and feels like and how to achieve it. For the University of Waikato this means taking an intersectional lens to inclusion – hearing from, engaging with and understanding the multiple and overlapping experiences that are those of our diverse student groups. </w:t>
      </w:r>
      <w:r w:rsidR="00B4737A">
        <w:rPr>
          <w:rFonts w:ascii="Calibri" w:hAnsi="Calibri" w:cs="Calibri"/>
          <w:color w:val="auto"/>
          <w:sz w:val="22"/>
          <w:szCs w:val="22"/>
        </w:rPr>
        <w:t xml:space="preserve">Proactively </w:t>
      </w:r>
      <w:r w:rsidR="008051D2">
        <w:rPr>
          <w:rFonts w:ascii="Calibri" w:hAnsi="Calibri" w:cs="Calibri"/>
          <w:color w:val="auto"/>
          <w:sz w:val="22"/>
          <w:szCs w:val="22"/>
        </w:rPr>
        <w:t>engag</w:t>
      </w:r>
      <w:r w:rsidR="00FB38F9">
        <w:rPr>
          <w:rFonts w:ascii="Calibri" w:hAnsi="Calibri" w:cs="Calibri"/>
          <w:color w:val="auto"/>
          <w:sz w:val="22"/>
          <w:szCs w:val="22"/>
        </w:rPr>
        <w:t>ing</w:t>
      </w:r>
      <w:r w:rsidR="00B4737A">
        <w:rPr>
          <w:rFonts w:ascii="Calibri" w:hAnsi="Calibri" w:cs="Calibri"/>
          <w:color w:val="auto"/>
          <w:sz w:val="22"/>
          <w:szCs w:val="22"/>
        </w:rPr>
        <w:t xml:space="preserve"> with </w:t>
      </w:r>
      <w:r w:rsidR="006C684E" w:rsidRPr="00F658E7">
        <w:rPr>
          <w:rFonts w:ascii="Calibri" w:hAnsi="Calibri" w:cs="Calibri"/>
          <w:color w:val="auto"/>
          <w:sz w:val="22"/>
          <w:szCs w:val="22"/>
        </w:rPr>
        <w:t xml:space="preserve">a broad range of lived experiences needs to be evident across all areas of University life ensuring accessibility for all. The expected effect of this is to improve the overall quality of </w:t>
      </w:r>
      <w:r w:rsidR="00FB38F9">
        <w:rPr>
          <w:rFonts w:ascii="Calibri" w:hAnsi="Calibri" w:cs="Calibri"/>
          <w:color w:val="auto"/>
          <w:sz w:val="22"/>
          <w:szCs w:val="22"/>
        </w:rPr>
        <w:t>U</w:t>
      </w:r>
      <w:r w:rsidR="006C684E" w:rsidRPr="00F658E7">
        <w:rPr>
          <w:rFonts w:ascii="Calibri" w:hAnsi="Calibri" w:cs="Calibri"/>
          <w:color w:val="auto"/>
          <w:sz w:val="22"/>
          <w:szCs w:val="22"/>
        </w:rPr>
        <w:t>niversity life for disabled students as well as for all students. The aim is to</w:t>
      </w:r>
      <w:r w:rsidR="00F21361" w:rsidRPr="00F658E7">
        <w:rPr>
          <w:rFonts w:ascii="Calibri" w:hAnsi="Calibri" w:cs="Calibri"/>
          <w:color w:val="auto"/>
          <w:sz w:val="22"/>
          <w:szCs w:val="22"/>
        </w:rPr>
        <w:t xml:space="preserve"> bring about </w:t>
      </w:r>
      <w:r w:rsidR="00654071" w:rsidRPr="00F658E7">
        <w:rPr>
          <w:rFonts w:ascii="Calibri" w:hAnsi="Calibri" w:cs="Calibri"/>
          <w:color w:val="auto"/>
          <w:sz w:val="22"/>
          <w:szCs w:val="22"/>
        </w:rPr>
        <w:t>equitable and barrier-free</w:t>
      </w:r>
      <w:r w:rsidR="00084245" w:rsidRPr="00F658E7">
        <w:rPr>
          <w:rFonts w:ascii="Calibri" w:hAnsi="Calibri" w:cs="Calibri"/>
          <w:color w:val="auto"/>
          <w:sz w:val="22"/>
          <w:szCs w:val="22"/>
        </w:rPr>
        <w:t xml:space="preserve"> access to all aspects of </w:t>
      </w:r>
      <w:r w:rsidR="00FB38F9">
        <w:rPr>
          <w:rFonts w:ascii="Calibri" w:hAnsi="Calibri" w:cs="Calibri"/>
          <w:color w:val="auto"/>
          <w:sz w:val="22"/>
          <w:szCs w:val="22"/>
        </w:rPr>
        <w:t>U</w:t>
      </w:r>
      <w:r w:rsidR="00084245" w:rsidRPr="00F658E7">
        <w:rPr>
          <w:rFonts w:ascii="Calibri" w:hAnsi="Calibri" w:cs="Calibri"/>
          <w:color w:val="auto"/>
          <w:sz w:val="22"/>
          <w:szCs w:val="22"/>
        </w:rPr>
        <w:t xml:space="preserve">niversity life through </w:t>
      </w:r>
      <w:r w:rsidR="000914A4" w:rsidRPr="00F658E7">
        <w:rPr>
          <w:rFonts w:ascii="Calibri" w:hAnsi="Calibri" w:cs="Calibri"/>
          <w:color w:val="auto"/>
          <w:sz w:val="22"/>
          <w:szCs w:val="22"/>
        </w:rPr>
        <w:t xml:space="preserve">not only </w:t>
      </w:r>
      <w:r w:rsidR="00F21361" w:rsidRPr="00F658E7">
        <w:rPr>
          <w:rFonts w:ascii="Calibri" w:hAnsi="Calibri" w:cs="Calibri"/>
          <w:color w:val="auto"/>
          <w:sz w:val="22"/>
          <w:szCs w:val="22"/>
        </w:rPr>
        <w:t>well-designed</w:t>
      </w:r>
      <w:r w:rsidR="00084245" w:rsidRPr="00F658E7">
        <w:rPr>
          <w:rFonts w:ascii="Calibri" w:hAnsi="Calibri" w:cs="Calibri"/>
          <w:color w:val="auto"/>
          <w:sz w:val="22"/>
          <w:szCs w:val="22"/>
        </w:rPr>
        <w:t xml:space="preserve"> inclusive physical</w:t>
      </w:r>
      <w:r w:rsidR="000914A4" w:rsidRPr="00F658E7">
        <w:rPr>
          <w:rFonts w:ascii="Calibri" w:hAnsi="Calibri" w:cs="Calibri"/>
          <w:color w:val="auto"/>
          <w:sz w:val="22"/>
          <w:szCs w:val="22"/>
        </w:rPr>
        <w:t xml:space="preserve"> environment</w:t>
      </w:r>
      <w:r w:rsidR="0031510F" w:rsidRPr="00F658E7">
        <w:rPr>
          <w:rFonts w:ascii="Calibri" w:hAnsi="Calibri" w:cs="Calibri"/>
          <w:color w:val="auto"/>
          <w:sz w:val="22"/>
          <w:szCs w:val="22"/>
        </w:rPr>
        <w:t xml:space="preserve">s </w:t>
      </w:r>
      <w:r w:rsidR="000914A4" w:rsidRPr="00F658E7">
        <w:rPr>
          <w:rFonts w:ascii="Calibri" w:hAnsi="Calibri" w:cs="Calibri"/>
          <w:color w:val="auto"/>
          <w:sz w:val="22"/>
          <w:szCs w:val="22"/>
        </w:rPr>
        <w:t>(see Objective 2) but also</w:t>
      </w:r>
      <w:r w:rsidR="00084245" w:rsidRPr="00F658E7">
        <w:rPr>
          <w:rFonts w:ascii="Calibri" w:hAnsi="Calibri" w:cs="Calibri"/>
          <w:color w:val="auto"/>
          <w:sz w:val="22"/>
          <w:szCs w:val="22"/>
        </w:rPr>
        <w:t xml:space="preserve"> academic</w:t>
      </w:r>
      <w:r w:rsidR="000914A4" w:rsidRPr="00F658E7">
        <w:rPr>
          <w:rFonts w:ascii="Calibri" w:hAnsi="Calibri" w:cs="Calibri"/>
          <w:color w:val="auto"/>
          <w:sz w:val="22"/>
          <w:szCs w:val="22"/>
        </w:rPr>
        <w:t xml:space="preserve"> (see Objective 3)</w:t>
      </w:r>
      <w:r w:rsidR="00084245" w:rsidRPr="00F658E7">
        <w:rPr>
          <w:rFonts w:ascii="Calibri" w:hAnsi="Calibri" w:cs="Calibri"/>
          <w:color w:val="auto"/>
          <w:sz w:val="22"/>
          <w:szCs w:val="22"/>
        </w:rPr>
        <w:t xml:space="preserve"> and social environments</w:t>
      </w:r>
      <w:r w:rsidR="006C684E" w:rsidRPr="00F658E7">
        <w:rPr>
          <w:rFonts w:ascii="Calibri" w:hAnsi="Calibri" w:cs="Calibri"/>
          <w:color w:val="auto"/>
          <w:sz w:val="22"/>
          <w:szCs w:val="22"/>
        </w:rPr>
        <w:t xml:space="preserve"> that reflect the diverse, intersecting identities and lived experiences of our students</w:t>
      </w:r>
      <w:r w:rsidR="00084245" w:rsidRPr="00F658E7">
        <w:rPr>
          <w:rFonts w:ascii="Calibri" w:hAnsi="Calibri" w:cs="Calibri"/>
          <w:color w:val="auto"/>
          <w:sz w:val="22"/>
          <w:szCs w:val="22"/>
        </w:rPr>
        <w:t xml:space="preserve">. </w:t>
      </w:r>
    </w:p>
    <w:p w14:paraId="276CF401" w14:textId="77777777" w:rsidR="00C4006E" w:rsidRPr="00F658E7" w:rsidRDefault="00C4006E" w:rsidP="0012782C">
      <w:pPr>
        <w:pStyle w:val="Default"/>
        <w:rPr>
          <w:rFonts w:ascii="Calibri" w:hAnsi="Calibri" w:cs="Calibri"/>
          <w:color w:val="auto"/>
          <w:sz w:val="19"/>
          <w:szCs w:val="19"/>
        </w:rPr>
      </w:pPr>
    </w:p>
    <w:p w14:paraId="2187AF03" w14:textId="640A4A31" w:rsidR="00F322DE" w:rsidRPr="00F658E7" w:rsidRDefault="00F322DE" w:rsidP="0012782C">
      <w:pPr>
        <w:pStyle w:val="Heading3"/>
        <w:spacing w:line="240" w:lineRule="auto"/>
        <w:rPr>
          <w:color w:val="auto"/>
        </w:rPr>
      </w:pPr>
      <w:bookmarkStart w:id="26" w:name="_Toc120609568"/>
      <w:r w:rsidRPr="00F658E7">
        <w:rPr>
          <w:color w:val="auto"/>
        </w:rPr>
        <w:t xml:space="preserve">What will the University do to achieve this </w:t>
      </w:r>
      <w:r w:rsidR="00FB38F9">
        <w:rPr>
          <w:color w:val="auto"/>
        </w:rPr>
        <w:t>o</w:t>
      </w:r>
      <w:r w:rsidRPr="00F658E7">
        <w:rPr>
          <w:color w:val="auto"/>
        </w:rPr>
        <w:t>bjective?</w:t>
      </w:r>
      <w:bookmarkEnd w:id="26"/>
    </w:p>
    <w:p w14:paraId="0881426F" w14:textId="419664CA" w:rsidR="005F4D40" w:rsidRDefault="0031510F" w:rsidP="0012782C">
      <w:pPr>
        <w:pStyle w:val="Default"/>
        <w:numPr>
          <w:ilvl w:val="0"/>
          <w:numId w:val="15"/>
        </w:numPr>
        <w:rPr>
          <w:rFonts w:asciiTheme="minorHAnsi" w:eastAsia="Palatino Linotype" w:hAnsiTheme="minorHAnsi" w:cstheme="minorHAnsi"/>
          <w:color w:val="auto"/>
          <w:sz w:val="22"/>
          <w:szCs w:val="22"/>
        </w:rPr>
      </w:pPr>
      <w:r w:rsidRPr="00F658E7">
        <w:rPr>
          <w:rFonts w:asciiTheme="minorHAnsi" w:eastAsia="Palatino Linotype" w:hAnsiTheme="minorHAnsi" w:cstheme="minorHAnsi"/>
          <w:color w:val="auto"/>
          <w:sz w:val="22"/>
          <w:szCs w:val="22"/>
        </w:rPr>
        <w:t>Review, expand and strengthen current mechanisms to</w:t>
      </w:r>
      <w:r w:rsidR="00233AF9">
        <w:rPr>
          <w:rFonts w:asciiTheme="minorHAnsi" w:eastAsia="Palatino Linotype" w:hAnsiTheme="minorHAnsi" w:cstheme="minorHAnsi"/>
          <w:color w:val="auto"/>
          <w:sz w:val="22"/>
          <w:szCs w:val="22"/>
        </w:rPr>
        <w:t xml:space="preserve"> genuinely engage with students in partnership,</w:t>
      </w:r>
      <w:r w:rsidR="00344A7A" w:rsidRPr="00F658E7">
        <w:rPr>
          <w:rFonts w:asciiTheme="minorHAnsi" w:eastAsia="Palatino Linotype" w:hAnsiTheme="minorHAnsi" w:cstheme="minorHAnsi"/>
          <w:color w:val="auto"/>
          <w:sz w:val="22"/>
          <w:szCs w:val="22"/>
        </w:rPr>
        <w:t xml:space="preserve"> including a focus on co-development of the Disabled Students </w:t>
      </w:r>
      <w:r w:rsidR="00D910F0" w:rsidRPr="00665B84">
        <w:rPr>
          <w:rFonts w:asciiTheme="minorHAnsi" w:eastAsia="Palatino Linotype" w:hAnsiTheme="minorHAnsi" w:cstheme="minorHAnsi"/>
          <w:color w:val="auto"/>
          <w:sz w:val="22"/>
          <w:szCs w:val="22"/>
        </w:rPr>
        <w:t>Association</w:t>
      </w:r>
      <w:r w:rsidR="00344A7A" w:rsidRPr="00F658E7">
        <w:rPr>
          <w:rFonts w:asciiTheme="minorHAnsi" w:eastAsia="Palatino Linotype" w:hAnsiTheme="minorHAnsi" w:cstheme="minorHAnsi"/>
          <w:color w:val="auto"/>
          <w:sz w:val="22"/>
          <w:szCs w:val="22"/>
        </w:rPr>
        <w:t xml:space="preserve"> roles and </w:t>
      </w:r>
      <w:r w:rsidR="00D910F0" w:rsidRPr="00665B84">
        <w:rPr>
          <w:rFonts w:asciiTheme="minorHAnsi" w:eastAsia="Palatino Linotype" w:hAnsiTheme="minorHAnsi" w:cstheme="minorHAnsi"/>
          <w:color w:val="auto"/>
          <w:sz w:val="22"/>
          <w:szCs w:val="22"/>
        </w:rPr>
        <w:t>activities</w:t>
      </w:r>
      <w:r w:rsidRPr="00F658E7">
        <w:rPr>
          <w:rFonts w:asciiTheme="minorHAnsi" w:eastAsia="Palatino Linotype" w:hAnsiTheme="minorHAnsi" w:cstheme="minorHAnsi"/>
          <w:color w:val="auto"/>
          <w:sz w:val="22"/>
          <w:szCs w:val="22"/>
        </w:rPr>
        <w:t xml:space="preserve"> and understand the views of </w:t>
      </w:r>
      <w:proofErr w:type="spellStart"/>
      <w:r w:rsidRPr="00F658E7">
        <w:rPr>
          <w:rFonts w:asciiTheme="minorHAnsi" w:eastAsia="Palatino Linotype" w:hAnsiTheme="minorHAnsi" w:cstheme="minorHAnsi"/>
          <w:color w:val="auto"/>
          <w:sz w:val="22"/>
          <w:szCs w:val="22"/>
        </w:rPr>
        <w:t>whānau</w:t>
      </w:r>
      <w:proofErr w:type="spellEnd"/>
      <w:r w:rsidRPr="00F658E7">
        <w:rPr>
          <w:rFonts w:asciiTheme="minorHAnsi" w:eastAsia="Palatino Linotype" w:hAnsiTheme="minorHAnsi" w:cstheme="minorHAnsi"/>
          <w:color w:val="auto"/>
          <w:sz w:val="22"/>
          <w:szCs w:val="22"/>
        </w:rPr>
        <w:t xml:space="preserve"> and communities</w:t>
      </w:r>
    </w:p>
    <w:p w14:paraId="41A5667C" w14:textId="3039A043" w:rsidR="00F06851" w:rsidRPr="00F658E7" w:rsidRDefault="00F06851" w:rsidP="0012782C">
      <w:pPr>
        <w:pStyle w:val="Default"/>
        <w:numPr>
          <w:ilvl w:val="0"/>
          <w:numId w:val="15"/>
        </w:numPr>
        <w:rPr>
          <w:rFonts w:asciiTheme="minorHAnsi" w:eastAsia="Palatino Linotype" w:hAnsiTheme="minorHAnsi" w:cstheme="minorHAnsi"/>
          <w:color w:val="auto"/>
          <w:sz w:val="22"/>
          <w:szCs w:val="22"/>
        </w:rPr>
      </w:pPr>
      <w:r>
        <w:rPr>
          <w:rFonts w:asciiTheme="minorHAnsi" w:eastAsia="Palatino Linotype" w:hAnsiTheme="minorHAnsi" w:cstheme="minorHAnsi"/>
          <w:color w:val="auto"/>
          <w:sz w:val="22"/>
          <w:szCs w:val="22"/>
        </w:rPr>
        <w:t>Engage with stakeholders</w:t>
      </w:r>
      <w:r w:rsidR="00411A8F">
        <w:rPr>
          <w:rFonts w:asciiTheme="minorHAnsi" w:eastAsia="Palatino Linotype" w:hAnsiTheme="minorHAnsi" w:cstheme="minorHAnsi"/>
          <w:color w:val="auto"/>
          <w:sz w:val="22"/>
          <w:szCs w:val="22"/>
        </w:rPr>
        <w:t>, especially Māori,</w:t>
      </w:r>
      <w:r>
        <w:rPr>
          <w:rFonts w:asciiTheme="minorHAnsi" w:eastAsia="Palatino Linotype" w:hAnsiTheme="minorHAnsi" w:cstheme="minorHAnsi"/>
          <w:color w:val="auto"/>
          <w:sz w:val="22"/>
          <w:szCs w:val="22"/>
        </w:rPr>
        <w:t xml:space="preserve"> from </w:t>
      </w:r>
      <w:r w:rsidR="00411A8F">
        <w:rPr>
          <w:rFonts w:asciiTheme="minorHAnsi" w:eastAsia="Palatino Linotype" w:hAnsiTheme="minorHAnsi" w:cstheme="minorHAnsi"/>
          <w:color w:val="auto"/>
          <w:sz w:val="22"/>
          <w:szCs w:val="22"/>
        </w:rPr>
        <w:t>‘</w:t>
      </w:r>
      <w:r>
        <w:rPr>
          <w:rFonts w:asciiTheme="minorHAnsi" w:eastAsia="Palatino Linotype" w:hAnsiTheme="minorHAnsi" w:cstheme="minorHAnsi"/>
          <w:color w:val="auto"/>
          <w:sz w:val="22"/>
          <w:szCs w:val="22"/>
        </w:rPr>
        <w:t>the community</w:t>
      </w:r>
      <w:r w:rsidR="00411A8F">
        <w:rPr>
          <w:rFonts w:asciiTheme="minorHAnsi" w:eastAsia="Palatino Linotype" w:hAnsiTheme="minorHAnsi" w:cstheme="minorHAnsi"/>
          <w:color w:val="auto"/>
          <w:sz w:val="22"/>
          <w:szCs w:val="22"/>
        </w:rPr>
        <w:t>’ helping to ensure that the DAP is tabled at relevant engagement meetings and hui</w:t>
      </w:r>
    </w:p>
    <w:p w14:paraId="3A00AC0E" w14:textId="3B2612D6" w:rsidR="006C684E" w:rsidRPr="00F658E7" w:rsidRDefault="006C684E" w:rsidP="0012782C">
      <w:pPr>
        <w:pStyle w:val="Default"/>
        <w:numPr>
          <w:ilvl w:val="0"/>
          <w:numId w:val="15"/>
        </w:numPr>
        <w:rPr>
          <w:rFonts w:asciiTheme="minorHAnsi" w:eastAsia="Palatino Linotype" w:hAnsiTheme="minorHAnsi" w:cstheme="minorHAnsi"/>
          <w:color w:val="auto"/>
          <w:sz w:val="22"/>
          <w:szCs w:val="22"/>
        </w:rPr>
      </w:pPr>
      <w:r w:rsidRPr="00F658E7">
        <w:rPr>
          <w:rFonts w:asciiTheme="minorHAnsi" w:eastAsia="Palatino Linotype" w:hAnsiTheme="minorHAnsi" w:cstheme="minorHAnsi"/>
          <w:color w:val="auto"/>
          <w:sz w:val="22"/>
          <w:szCs w:val="22"/>
        </w:rPr>
        <w:t>Align the DAP with other University policies</w:t>
      </w:r>
      <w:r w:rsidR="00411A8F">
        <w:rPr>
          <w:rFonts w:asciiTheme="minorHAnsi" w:eastAsia="Palatino Linotype" w:hAnsiTheme="minorHAnsi" w:cstheme="minorHAnsi"/>
          <w:color w:val="auto"/>
          <w:sz w:val="22"/>
          <w:szCs w:val="22"/>
        </w:rPr>
        <w:t>, plans</w:t>
      </w:r>
      <w:r w:rsidRPr="00F658E7">
        <w:rPr>
          <w:rFonts w:asciiTheme="minorHAnsi" w:eastAsia="Palatino Linotype" w:hAnsiTheme="minorHAnsi" w:cstheme="minorHAnsi"/>
          <w:color w:val="auto"/>
          <w:sz w:val="22"/>
          <w:szCs w:val="22"/>
        </w:rPr>
        <w:t xml:space="preserve"> and strategies</w:t>
      </w:r>
      <w:r w:rsidR="00411A8F">
        <w:rPr>
          <w:rFonts w:asciiTheme="minorHAnsi" w:eastAsia="Palatino Linotype" w:hAnsiTheme="minorHAnsi" w:cstheme="minorHAnsi"/>
          <w:color w:val="auto"/>
          <w:sz w:val="22"/>
          <w:szCs w:val="22"/>
        </w:rPr>
        <w:t xml:space="preserve"> (e.g. </w:t>
      </w:r>
      <w:r w:rsidRPr="00F658E7">
        <w:rPr>
          <w:rFonts w:asciiTheme="minorHAnsi" w:eastAsia="Palatino Linotype" w:hAnsiTheme="minorHAnsi" w:cstheme="minorHAnsi"/>
          <w:color w:val="auto"/>
          <w:sz w:val="22"/>
          <w:szCs w:val="22"/>
        </w:rPr>
        <w:t xml:space="preserve"> </w:t>
      </w:r>
      <w:proofErr w:type="spellStart"/>
      <w:r w:rsidR="00411A8F">
        <w:rPr>
          <w:rFonts w:asciiTheme="minorHAnsi" w:eastAsia="Palatino Linotype" w:hAnsiTheme="minorHAnsi" w:cstheme="minorHAnsi"/>
          <w:color w:val="auto"/>
          <w:sz w:val="22"/>
          <w:szCs w:val="22"/>
        </w:rPr>
        <w:t>Te</w:t>
      </w:r>
      <w:proofErr w:type="spellEnd"/>
      <w:r w:rsidR="00411A8F">
        <w:rPr>
          <w:rFonts w:asciiTheme="minorHAnsi" w:eastAsia="Palatino Linotype" w:hAnsiTheme="minorHAnsi" w:cstheme="minorHAnsi"/>
          <w:color w:val="auto"/>
          <w:sz w:val="22"/>
          <w:szCs w:val="22"/>
        </w:rPr>
        <w:t xml:space="preserve"> </w:t>
      </w:r>
      <w:proofErr w:type="spellStart"/>
      <w:r w:rsidR="00411A8F">
        <w:rPr>
          <w:rFonts w:asciiTheme="minorHAnsi" w:eastAsia="Palatino Linotype" w:hAnsiTheme="minorHAnsi" w:cstheme="minorHAnsi"/>
          <w:color w:val="auto"/>
          <w:sz w:val="22"/>
          <w:szCs w:val="22"/>
        </w:rPr>
        <w:t>Rautaki</w:t>
      </w:r>
      <w:proofErr w:type="spellEnd"/>
      <w:r w:rsidR="00411A8F">
        <w:rPr>
          <w:rFonts w:asciiTheme="minorHAnsi" w:eastAsia="Palatino Linotype" w:hAnsiTheme="minorHAnsi" w:cstheme="minorHAnsi"/>
          <w:color w:val="auto"/>
          <w:sz w:val="22"/>
          <w:szCs w:val="22"/>
        </w:rPr>
        <w:t xml:space="preserve"> Māori/Māori Advancement Plan 2022-2026, Pacific Strategic Plan 2021-2025) </w:t>
      </w:r>
      <w:r w:rsidRPr="00F658E7">
        <w:rPr>
          <w:rFonts w:asciiTheme="minorHAnsi" w:eastAsia="Palatino Linotype" w:hAnsiTheme="minorHAnsi" w:cstheme="minorHAnsi"/>
          <w:color w:val="auto"/>
          <w:sz w:val="22"/>
          <w:szCs w:val="22"/>
        </w:rPr>
        <w:t xml:space="preserve">that focus on diversity and develop an implementation approach for the DAP that engages with these policies and strategies </w:t>
      </w:r>
    </w:p>
    <w:p w14:paraId="264745CF" w14:textId="7F252281" w:rsidR="006C684E" w:rsidRPr="00F658E7" w:rsidRDefault="006C684E" w:rsidP="0012782C">
      <w:pPr>
        <w:pStyle w:val="Default"/>
        <w:numPr>
          <w:ilvl w:val="0"/>
          <w:numId w:val="15"/>
        </w:numPr>
        <w:rPr>
          <w:rFonts w:asciiTheme="minorHAnsi" w:eastAsia="Palatino Linotype" w:hAnsiTheme="minorHAnsi" w:cstheme="minorHAnsi"/>
          <w:color w:val="auto"/>
          <w:sz w:val="22"/>
          <w:szCs w:val="22"/>
        </w:rPr>
      </w:pPr>
      <w:r w:rsidRPr="00F658E7">
        <w:rPr>
          <w:rFonts w:asciiTheme="minorHAnsi" w:eastAsia="Palatino Linotype" w:hAnsiTheme="minorHAnsi" w:cstheme="minorHAnsi"/>
          <w:color w:val="auto"/>
          <w:sz w:val="22"/>
          <w:szCs w:val="22"/>
        </w:rPr>
        <w:t>Develop and implement University wide campaigns to raise awareness of diversity</w:t>
      </w:r>
      <w:r w:rsidR="00D910F0">
        <w:rPr>
          <w:rFonts w:asciiTheme="minorHAnsi" w:eastAsia="Palatino Linotype" w:hAnsiTheme="minorHAnsi" w:cstheme="minorHAnsi"/>
          <w:color w:val="auto"/>
          <w:sz w:val="22"/>
          <w:szCs w:val="22"/>
        </w:rPr>
        <w:t xml:space="preserve"> </w:t>
      </w:r>
      <w:r w:rsidRPr="00F658E7">
        <w:rPr>
          <w:rFonts w:asciiTheme="minorHAnsi" w:eastAsia="Palatino Linotype" w:hAnsiTheme="minorHAnsi" w:cstheme="minorHAnsi"/>
          <w:color w:val="auto"/>
          <w:sz w:val="22"/>
          <w:szCs w:val="22"/>
        </w:rPr>
        <w:t>and develop a University communication strategy to support this</w:t>
      </w:r>
    </w:p>
    <w:p w14:paraId="2860B38B" w14:textId="653A2F3A" w:rsidR="006C684E" w:rsidRDefault="006C684E" w:rsidP="0012782C">
      <w:pPr>
        <w:pStyle w:val="Default"/>
        <w:numPr>
          <w:ilvl w:val="0"/>
          <w:numId w:val="15"/>
        </w:numPr>
        <w:rPr>
          <w:rFonts w:asciiTheme="minorHAnsi" w:eastAsia="Palatino Linotype" w:hAnsiTheme="minorHAnsi" w:cstheme="minorHAnsi"/>
          <w:color w:val="auto"/>
          <w:sz w:val="22"/>
          <w:szCs w:val="22"/>
        </w:rPr>
      </w:pPr>
      <w:r w:rsidRPr="00F658E7">
        <w:rPr>
          <w:rFonts w:asciiTheme="minorHAnsi" w:eastAsia="Palatino Linotype" w:hAnsiTheme="minorHAnsi" w:cstheme="minorHAnsi"/>
          <w:color w:val="auto"/>
          <w:sz w:val="22"/>
          <w:szCs w:val="22"/>
        </w:rPr>
        <w:t xml:space="preserve">Engage with Student Health Services to develop and implement a mental health peer programme </w:t>
      </w:r>
      <w:r w:rsidR="00682E0B" w:rsidRPr="00F658E7">
        <w:rPr>
          <w:rFonts w:asciiTheme="minorHAnsi" w:eastAsia="Palatino Linotype" w:hAnsiTheme="minorHAnsi" w:cstheme="minorHAnsi"/>
          <w:color w:val="auto"/>
          <w:sz w:val="22"/>
          <w:szCs w:val="22"/>
        </w:rPr>
        <w:t>in line with the ADHD peer mentoring programme being developed</w:t>
      </w:r>
    </w:p>
    <w:p w14:paraId="0432BE95" w14:textId="457DF35B" w:rsidR="00233AF9" w:rsidRPr="00F658E7" w:rsidRDefault="00233AF9" w:rsidP="0012782C">
      <w:pPr>
        <w:pStyle w:val="Default"/>
        <w:numPr>
          <w:ilvl w:val="0"/>
          <w:numId w:val="15"/>
        </w:numPr>
        <w:rPr>
          <w:rFonts w:asciiTheme="minorHAnsi" w:eastAsia="Palatino Linotype" w:hAnsiTheme="minorHAnsi" w:cstheme="minorHAnsi"/>
          <w:color w:val="auto"/>
          <w:sz w:val="22"/>
          <w:szCs w:val="22"/>
        </w:rPr>
      </w:pPr>
      <w:r>
        <w:rPr>
          <w:rFonts w:asciiTheme="minorHAnsi" w:eastAsia="Palatino Linotype" w:hAnsiTheme="minorHAnsi" w:cstheme="minorHAnsi"/>
          <w:color w:val="auto"/>
          <w:sz w:val="22"/>
          <w:szCs w:val="22"/>
        </w:rPr>
        <w:t>Support initiatives put forward by other entities, including central and local Government, and national organisations th</w:t>
      </w:r>
      <w:r w:rsidR="00FB38F9">
        <w:rPr>
          <w:rFonts w:asciiTheme="minorHAnsi" w:eastAsia="Palatino Linotype" w:hAnsiTheme="minorHAnsi" w:cstheme="minorHAnsi"/>
          <w:color w:val="auto"/>
          <w:sz w:val="22"/>
          <w:szCs w:val="22"/>
        </w:rPr>
        <w:t>at</w:t>
      </w:r>
      <w:r>
        <w:rPr>
          <w:rFonts w:asciiTheme="minorHAnsi" w:eastAsia="Palatino Linotype" w:hAnsiTheme="minorHAnsi" w:cstheme="minorHAnsi"/>
          <w:color w:val="auto"/>
          <w:sz w:val="22"/>
          <w:szCs w:val="22"/>
        </w:rPr>
        <w:t xml:space="preserve"> will provide genuine and meaningful benefits for tertiary students with disabilities</w:t>
      </w:r>
    </w:p>
    <w:p w14:paraId="7B0ABB54" w14:textId="77777777" w:rsidR="000914A4" w:rsidRPr="00F658E7" w:rsidRDefault="000914A4" w:rsidP="0012782C">
      <w:pPr>
        <w:pStyle w:val="Default"/>
        <w:rPr>
          <w:rFonts w:ascii="Calibri" w:hAnsi="Calibri" w:cs="Calibri"/>
          <w:color w:val="auto"/>
          <w:sz w:val="22"/>
          <w:szCs w:val="22"/>
        </w:rPr>
      </w:pPr>
    </w:p>
    <w:p w14:paraId="09962E84" w14:textId="2B2DC72F" w:rsidR="00293F66" w:rsidRPr="00F658E7" w:rsidRDefault="000914A4" w:rsidP="0012782C">
      <w:pPr>
        <w:pStyle w:val="Heading2"/>
        <w:spacing w:line="240" w:lineRule="auto"/>
        <w:rPr>
          <w:color w:val="auto"/>
        </w:rPr>
      </w:pPr>
      <w:bookmarkStart w:id="27" w:name="_Toc120609569"/>
      <w:r w:rsidRPr="00F658E7">
        <w:rPr>
          <w:color w:val="auto"/>
        </w:rPr>
        <w:t>OBJECTIVE 2</w:t>
      </w:r>
      <w:r w:rsidR="00D56F26" w:rsidRPr="00F658E7">
        <w:rPr>
          <w:color w:val="auto"/>
        </w:rPr>
        <w:t>:</w:t>
      </w:r>
      <w:r w:rsidRPr="00F658E7">
        <w:rPr>
          <w:color w:val="auto"/>
        </w:rPr>
        <w:t xml:space="preserve"> CREATE BARRIER FREE ACCESS</w:t>
      </w:r>
      <w:r w:rsidR="002A3E09" w:rsidRPr="00F658E7">
        <w:rPr>
          <w:color w:val="auto"/>
        </w:rPr>
        <w:t xml:space="preserve"> TO </w:t>
      </w:r>
      <w:r w:rsidR="00233AF9">
        <w:rPr>
          <w:color w:val="auto"/>
        </w:rPr>
        <w:t>OUR CAMPUSES</w:t>
      </w:r>
      <w:bookmarkEnd w:id="27"/>
    </w:p>
    <w:p w14:paraId="48730A7D" w14:textId="0BEDD2F6" w:rsidR="00873B9C" w:rsidRPr="00F658E7" w:rsidRDefault="0019323C" w:rsidP="0012782C">
      <w:pPr>
        <w:pStyle w:val="Default"/>
        <w:rPr>
          <w:rFonts w:ascii="Calibri" w:hAnsi="Calibri" w:cs="Calibri"/>
          <w:color w:val="auto"/>
          <w:sz w:val="22"/>
          <w:szCs w:val="22"/>
        </w:rPr>
      </w:pPr>
      <w:r w:rsidRPr="00F658E7">
        <w:rPr>
          <w:rFonts w:ascii="Calibri" w:hAnsi="Calibri" w:cs="Calibri"/>
          <w:color w:val="auto"/>
          <w:sz w:val="22"/>
          <w:szCs w:val="22"/>
        </w:rPr>
        <w:t>The University needs</w:t>
      </w:r>
      <w:r w:rsidR="00D00D90" w:rsidRPr="00F658E7">
        <w:rPr>
          <w:rFonts w:ascii="Calibri" w:hAnsi="Calibri" w:cs="Calibri"/>
          <w:color w:val="auto"/>
          <w:sz w:val="22"/>
          <w:szCs w:val="22"/>
        </w:rPr>
        <w:t xml:space="preserve"> </w:t>
      </w:r>
      <w:r w:rsidRPr="00F658E7">
        <w:rPr>
          <w:rFonts w:ascii="Calibri" w:hAnsi="Calibri" w:cs="Calibri"/>
          <w:color w:val="auto"/>
          <w:sz w:val="22"/>
          <w:szCs w:val="22"/>
        </w:rPr>
        <w:t xml:space="preserve">to design spaces </w:t>
      </w:r>
      <w:r w:rsidR="00D00D90" w:rsidRPr="00F658E7">
        <w:rPr>
          <w:rFonts w:ascii="Calibri" w:hAnsi="Calibri" w:cs="Calibri"/>
          <w:color w:val="auto"/>
          <w:sz w:val="22"/>
          <w:szCs w:val="22"/>
        </w:rPr>
        <w:t xml:space="preserve">that comprehensively address </w:t>
      </w:r>
      <w:r w:rsidR="00FB38F9">
        <w:rPr>
          <w:rFonts w:ascii="Calibri" w:hAnsi="Calibri" w:cs="Calibri"/>
          <w:color w:val="auto"/>
          <w:sz w:val="22"/>
          <w:szCs w:val="22"/>
        </w:rPr>
        <w:t>access for</w:t>
      </w:r>
      <w:r w:rsidR="00D00D90" w:rsidRPr="00F658E7">
        <w:rPr>
          <w:rFonts w:ascii="Calibri" w:hAnsi="Calibri" w:cs="Calibri"/>
          <w:color w:val="auto"/>
          <w:sz w:val="22"/>
          <w:szCs w:val="22"/>
        </w:rPr>
        <w:t xml:space="preserve"> disabled students</w:t>
      </w:r>
      <w:r w:rsidR="008E5DA2" w:rsidRPr="00F658E7">
        <w:rPr>
          <w:rFonts w:ascii="Calibri" w:hAnsi="Calibri" w:cs="Calibri"/>
          <w:color w:val="auto"/>
          <w:sz w:val="22"/>
          <w:szCs w:val="22"/>
        </w:rPr>
        <w:t xml:space="preserve"> using Universal Design principles and approaches</w:t>
      </w:r>
      <w:r w:rsidR="00D00D90" w:rsidRPr="00F658E7">
        <w:rPr>
          <w:rFonts w:ascii="Calibri" w:hAnsi="Calibri" w:cs="Calibri"/>
          <w:color w:val="auto"/>
          <w:sz w:val="22"/>
          <w:szCs w:val="22"/>
        </w:rPr>
        <w:t xml:space="preserve">. </w:t>
      </w:r>
      <w:r w:rsidR="00D00D90" w:rsidRPr="00F658E7">
        <w:rPr>
          <w:rFonts w:ascii="Calibri" w:hAnsi="Calibri" w:cs="Calibri"/>
          <w:color w:val="auto"/>
          <w:sz w:val="22"/>
          <w:szCs w:val="22"/>
          <w:shd w:val="clear" w:color="auto" w:fill="FFFFFF"/>
        </w:rPr>
        <w:t xml:space="preserve">Disabled students </w:t>
      </w:r>
      <w:r w:rsidR="008E5DA2" w:rsidRPr="00F658E7">
        <w:rPr>
          <w:rFonts w:ascii="Calibri" w:hAnsi="Calibri" w:cs="Calibri"/>
          <w:color w:val="auto"/>
          <w:sz w:val="22"/>
          <w:szCs w:val="22"/>
          <w:shd w:val="clear" w:color="auto" w:fill="FFFFFF"/>
        </w:rPr>
        <w:t xml:space="preserve">have a right to an equal </w:t>
      </w:r>
      <w:r w:rsidR="00D00D90" w:rsidRPr="00F658E7">
        <w:rPr>
          <w:rFonts w:ascii="Calibri" w:hAnsi="Calibri" w:cs="Calibri"/>
          <w:color w:val="auto"/>
          <w:sz w:val="22"/>
          <w:szCs w:val="22"/>
          <w:shd w:val="clear" w:color="auto" w:fill="FFFFFF"/>
        </w:rPr>
        <w:t>quality</w:t>
      </w:r>
      <w:r w:rsidR="008E5DA2" w:rsidRPr="00F658E7">
        <w:rPr>
          <w:rFonts w:ascii="Calibri" w:hAnsi="Calibri" w:cs="Calibri"/>
          <w:color w:val="auto"/>
          <w:sz w:val="22"/>
          <w:szCs w:val="22"/>
          <w:shd w:val="clear" w:color="auto" w:fill="FFFFFF"/>
        </w:rPr>
        <w:t xml:space="preserve"> of University</w:t>
      </w:r>
      <w:r w:rsidR="00D00D90" w:rsidRPr="00F658E7">
        <w:rPr>
          <w:rFonts w:ascii="Calibri" w:hAnsi="Calibri" w:cs="Calibri"/>
          <w:color w:val="auto"/>
          <w:sz w:val="22"/>
          <w:szCs w:val="22"/>
          <w:shd w:val="clear" w:color="auto" w:fill="FFFFFF"/>
        </w:rPr>
        <w:t xml:space="preserve"> experience as other students and this means </w:t>
      </w:r>
      <w:r w:rsidR="008E5DA2" w:rsidRPr="00F658E7">
        <w:rPr>
          <w:rFonts w:ascii="Calibri" w:hAnsi="Calibri" w:cs="Calibri"/>
          <w:color w:val="auto"/>
          <w:sz w:val="22"/>
          <w:szCs w:val="22"/>
          <w:shd w:val="clear" w:color="auto" w:fill="FFFFFF"/>
        </w:rPr>
        <w:t xml:space="preserve">having full access to </w:t>
      </w:r>
      <w:r w:rsidR="00D00D90" w:rsidRPr="00F658E7">
        <w:rPr>
          <w:rFonts w:ascii="Calibri" w:hAnsi="Calibri" w:cs="Calibri"/>
          <w:color w:val="auto"/>
          <w:sz w:val="22"/>
          <w:szCs w:val="22"/>
          <w:shd w:val="clear" w:color="auto" w:fill="FFFFFF"/>
        </w:rPr>
        <w:t>spaces</w:t>
      </w:r>
      <w:r w:rsidR="00FB38F9">
        <w:rPr>
          <w:rFonts w:ascii="Calibri" w:hAnsi="Calibri" w:cs="Calibri"/>
          <w:color w:val="auto"/>
          <w:sz w:val="22"/>
          <w:szCs w:val="22"/>
          <w:shd w:val="clear" w:color="auto" w:fill="FFFFFF"/>
        </w:rPr>
        <w:t>,</w:t>
      </w:r>
      <w:r w:rsidR="00D00D90" w:rsidRPr="00F658E7">
        <w:rPr>
          <w:rFonts w:ascii="Calibri" w:hAnsi="Calibri" w:cs="Calibri"/>
          <w:color w:val="auto"/>
          <w:sz w:val="22"/>
          <w:szCs w:val="22"/>
          <w:shd w:val="clear" w:color="auto" w:fill="FFFFFF"/>
        </w:rPr>
        <w:t xml:space="preserve"> </w:t>
      </w:r>
      <w:r w:rsidR="008E5DA2" w:rsidRPr="00F658E7">
        <w:rPr>
          <w:rFonts w:ascii="Calibri" w:hAnsi="Calibri" w:cs="Calibri"/>
          <w:color w:val="auto"/>
          <w:sz w:val="22"/>
          <w:szCs w:val="22"/>
          <w:shd w:val="clear" w:color="auto" w:fill="FFFFFF"/>
        </w:rPr>
        <w:t xml:space="preserve">and being able to fully participate </w:t>
      </w:r>
      <w:r w:rsidR="00344A7A" w:rsidRPr="00F658E7">
        <w:rPr>
          <w:rFonts w:ascii="Calibri" w:hAnsi="Calibri" w:cs="Calibri"/>
          <w:color w:val="auto"/>
          <w:sz w:val="22"/>
          <w:szCs w:val="22"/>
          <w:shd w:val="clear" w:color="auto" w:fill="FFFFFF"/>
        </w:rPr>
        <w:t>with</w:t>
      </w:r>
      <w:r w:rsidR="008E5DA2" w:rsidRPr="00F658E7">
        <w:rPr>
          <w:rFonts w:ascii="Calibri" w:hAnsi="Calibri" w:cs="Calibri"/>
          <w:color w:val="auto"/>
          <w:sz w:val="22"/>
          <w:szCs w:val="22"/>
          <w:shd w:val="clear" w:color="auto" w:fill="FFFFFF"/>
        </w:rPr>
        <w:t xml:space="preserve"> </w:t>
      </w:r>
      <w:r w:rsidR="00D00D90" w:rsidRPr="00F658E7">
        <w:rPr>
          <w:rFonts w:ascii="Calibri" w:hAnsi="Calibri" w:cs="Calibri"/>
          <w:color w:val="auto"/>
          <w:sz w:val="22"/>
          <w:szCs w:val="22"/>
          <w:shd w:val="clear" w:color="auto" w:fill="FFFFFF"/>
        </w:rPr>
        <w:t xml:space="preserve">equal access. </w:t>
      </w:r>
      <w:r w:rsidR="008E5DA2" w:rsidRPr="00F658E7">
        <w:rPr>
          <w:rFonts w:ascii="Calibri" w:hAnsi="Calibri" w:cs="Calibri"/>
          <w:color w:val="auto"/>
          <w:sz w:val="22"/>
          <w:szCs w:val="22"/>
        </w:rPr>
        <w:t>This means thinking about disability access ‘beyond ramps’ and what access means for physically disabled students using wheelchair</w:t>
      </w:r>
      <w:r w:rsidR="000F1994" w:rsidRPr="00F658E7">
        <w:rPr>
          <w:rFonts w:ascii="Calibri" w:hAnsi="Calibri" w:cs="Calibri"/>
          <w:color w:val="auto"/>
          <w:sz w:val="22"/>
          <w:szCs w:val="22"/>
        </w:rPr>
        <w:t>s</w:t>
      </w:r>
      <w:r w:rsidR="00FB38F9">
        <w:rPr>
          <w:rFonts w:ascii="Calibri" w:hAnsi="Calibri" w:cs="Calibri"/>
          <w:color w:val="auto"/>
          <w:sz w:val="22"/>
          <w:szCs w:val="22"/>
        </w:rPr>
        <w:t>, while this remains important</w:t>
      </w:r>
      <w:r w:rsidR="008E5DA2" w:rsidRPr="00F658E7">
        <w:rPr>
          <w:rFonts w:ascii="Calibri" w:hAnsi="Calibri" w:cs="Calibri"/>
          <w:color w:val="auto"/>
          <w:sz w:val="22"/>
          <w:szCs w:val="22"/>
        </w:rPr>
        <w:t xml:space="preserve">. It requires engagement with a broad disabled student voice to include an understanding of access from physical, sensory, cognitive and emotional perspectives AND the overlapping complexities of these experiences for many students. </w:t>
      </w:r>
    </w:p>
    <w:p w14:paraId="6F08C566" w14:textId="77777777" w:rsidR="00873B9C" w:rsidRPr="00F658E7" w:rsidRDefault="00873B9C" w:rsidP="0012782C">
      <w:pPr>
        <w:pStyle w:val="Default"/>
        <w:rPr>
          <w:rFonts w:ascii="Calibri" w:hAnsi="Calibri" w:cs="Calibri"/>
          <w:color w:val="auto"/>
          <w:sz w:val="22"/>
          <w:szCs w:val="22"/>
        </w:rPr>
      </w:pPr>
    </w:p>
    <w:p w14:paraId="5C478DA1" w14:textId="21635C87" w:rsidR="005C1C5A" w:rsidRPr="00F658E7" w:rsidRDefault="00D00D90" w:rsidP="0012782C">
      <w:pPr>
        <w:pStyle w:val="Default"/>
        <w:rPr>
          <w:rFonts w:asciiTheme="minorHAnsi" w:eastAsia="Palatino Linotype" w:hAnsiTheme="minorHAnsi" w:cstheme="minorHAnsi"/>
          <w:color w:val="auto"/>
          <w:sz w:val="22"/>
          <w:szCs w:val="22"/>
        </w:rPr>
      </w:pPr>
      <w:r w:rsidRPr="00F658E7">
        <w:rPr>
          <w:rFonts w:ascii="Calibri" w:hAnsi="Calibri" w:cs="Calibri"/>
          <w:color w:val="auto"/>
          <w:sz w:val="22"/>
          <w:szCs w:val="22"/>
        </w:rPr>
        <w:t>It is acknowledged that retrofitting existing learning and social spaces to enable fair and equal access can be costly and that the University must operate within budget</w:t>
      </w:r>
      <w:r w:rsidR="000F1994" w:rsidRPr="00F658E7">
        <w:rPr>
          <w:rFonts w:ascii="Calibri" w:hAnsi="Calibri" w:cs="Calibri"/>
          <w:color w:val="auto"/>
          <w:sz w:val="22"/>
          <w:szCs w:val="22"/>
        </w:rPr>
        <w:t>,</w:t>
      </w:r>
      <w:r w:rsidRPr="00F658E7">
        <w:rPr>
          <w:rFonts w:ascii="Calibri" w:hAnsi="Calibri" w:cs="Calibri"/>
          <w:color w:val="auto"/>
          <w:sz w:val="22"/>
          <w:szCs w:val="22"/>
        </w:rPr>
        <w:t xml:space="preserve"> but going forward we must always take this into account. </w:t>
      </w:r>
      <w:r w:rsidR="0019323C" w:rsidRPr="00F658E7">
        <w:rPr>
          <w:rFonts w:ascii="Calibri" w:hAnsi="Calibri" w:cs="Calibri"/>
          <w:color w:val="auto"/>
          <w:sz w:val="22"/>
          <w:szCs w:val="22"/>
        </w:rPr>
        <w:t xml:space="preserve"> </w:t>
      </w:r>
      <w:r w:rsidRPr="00F658E7">
        <w:rPr>
          <w:rFonts w:asciiTheme="minorHAnsi" w:eastAsia="Palatino Linotype" w:hAnsiTheme="minorHAnsi" w:cstheme="minorHAnsi"/>
          <w:color w:val="auto"/>
          <w:sz w:val="22"/>
          <w:szCs w:val="22"/>
        </w:rPr>
        <w:t xml:space="preserve">All new builds, refurbishments and renovations need to be informed by </w:t>
      </w:r>
      <w:r w:rsidR="008E5DA2" w:rsidRPr="00F658E7">
        <w:rPr>
          <w:rFonts w:asciiTheme="minorHAnsi" w:eastAsia="Palatino Linotype" w:hAnsiTheme="minorHAnsi" w:cstheme="minorHAnsi"/>
          <w:color w:val="auto"/>
          <w:sz w:val="22"/>
          <w:szCs w:val="22"/>
        </w:rPr>
        <w:t xml:space="preserve">Universal Design principles </w:t>
      </w:r>
      <w:r w:rsidRPr="00F658E7">
        <w:rPr>
          <w:rFonts w:asciiTheme="minorHAnsi" w:eastAsia="Palatino Linotype" w:hAnsiTheme="minorHAnsi" w:cstheme="minorHAnsi"/>
          <w:color w:val="auto"/>
          <w:sz w:val="22"/>
          <w:szCs w:val="22"/>
        </w:rPr>
        <w:t>an</w:t>
      </w:r>
      <w:r w:rsidR="008E5DA2" w:rsidRPr="00F658E7">
        <w:rPr>
          <w:rFonts w:asciiTheme="minorHAnsi" w:eastAsia="Palatino Linotype" w:hAnsiTheme="minorHAnsi" w:cstheme="minorHAnsi"/>
          <w:color w:val="auto"/>
          <w:sz w:val="22"/>
          <w:szCs w:val="22"/>
        </w:rPr>
        <w:t xml:space="preserve">d </w:t>
      </w:r>
      <w:r w:rsidR="00FB38F9">
        <w:rPr>
          <w:rFonts w:asciiTheme="minorHAnsi" w:eastAsia="Palatino Linotype" w:hAnsiTheme="minorHAnsi" w:cstheme="minorHAnsi"/>
          <w:color w:val="auto"/>
          <w:sz w:val="22"/>
          <w:szCs w:val="22"/>
        </w:rPr>
        <w:t xml:space="preserve">an </w:t>
      </w:r>
      <w:r w:rsidRPr="00F658E7">
        <w:rPr>
          <w:rFonts w:asciiTheme="minorHAnsi" w:eastAsia="Palatino Linotype" w:hAnsiTheme="minorHAnsi" w:cstheme="minorHAnsi"/>
          <w:color w:val="auto"/>
          <w:sz w:val="22"/>
          <w:szCs w:val="22"/>
        </w:rPr>
        <w:t xml:space="preserve">accessibility lens – frameworks need to be developed in consultation with disabled students, </w:t>
      </w:r>
      <w:r w:rsidR="000F1994" w:rsidRPr="00F658E7">
        <w:rPr>
          <w:rFonts w:asciiTheme="minorHAnsi" w:eastAsia="Palatino Linotype" w:hAnsiTheme="minorHAnsi" w:cstheme="minorHAnsi"/>
          <w:color w:val="auto"/>
          <w:sz w:val="22"/>
          <w:szCs w:val="22"/>
        </w:rPr>
        <w:t>A</w:t>
      </w:r>
      <w:r w:rsidRPr="00F658E7">
        <w:rPr>
          <w:rFonts w:asciiTheme="minorHAnsi" w:eastAsia="Palatino Linotype" w:hAnsiTheme="minorHAnsi" w:cstheme="minorHAnsi"/>
          <w:color w:val="auto"/>
          <w:sz w:val="22"/>
          <w:szCs w:val="22"/>
        </w:rPr>
        <w:t xml:space="preserve">ccessibility </w:t>
      </w:r>
      <w:r w:rsidR="000F1994" w:rsidRPr="00F658E7">
        <w:rPr>
          <w:rFonts w:asciiTheme="minorHAnsi" w:eastAsia="Palatino Linotype" w:hAnsiTheme="minorHAnsi" w:cstheme="minorHAnsi"/>
          <w:color w:val="auto"/>
          <w:sz w:val="22"/>
          <w:szCs w:val="22"/>
        </w:rPr>
        <w:t>S</w:t>
      </w:r>
      <w:r w:rsidRPr="00F658E7">
        <w:rPr>
          <w:rFonts w:asciiTheme="minorHAnsi" w:eastAsia="Palatino Linotype" w:hAnsiTheme="minorHAnsi" w:cstheme="minorHAnsi"/>
          <w:color w:val="auto"/>
          <w:sz w:val="22"/>
          <w:szCs w:val="22"/>
        </w:rPr>
        <w:t xml:space="preserve">ervices, </w:t>
      </w:r>
      <w:r w:rsidR="000F1994" w:rsidRPr="00F658E7">
        <w:rPr>
          <w:rFonts w:asciiTheme="minorHAnsi" w:eastAsia="Palatino Linotype" w:hAnsiTheme="minorHAnsi" w:cstheme="minorHAnsi"/>
          <w:color w:val="auto"/>
          <w:sz w:val="22"/>
          <w:szCs w:val="22"/>
        </w:rPr>
        <w:t>A</w:t>
      </w:r>
      <w:r w:rsidRPr="00F658E7">
        <w:rPr>
          <w:rFonts w:asciiTheme="minorHAnsi" w:eastAsia="Palatino Linotype" w:hAnsiTheme="minorHAnsi" w:cstheme="minorHAnsi"/>
          <w:color w:val="auto"/>
          <w:sz w:val="22"/>
          <w:szCs w:val="22"/>
        </w:rPr>
        <w:t xml:space="preserve">ccommodation </w:t>
      </w:r>
      <w:r w:rsidR="000F1994" w:rsidRPr="00F658E7">
        <w:rPr>
          <w:rFonts w:asciiTheme="minorHAnsi" w:eastAsia="Palatino Linotype" w:hAnsiTheme="minorHAnsi" w:cstheme="minorHAnsi"/>
          <w:color w:val="auto"/>
          <w:sz w:val="22"/>
          <w:szCs w:val="22"/>
        </w:rPr>
        <w:t>S</w:t>
      </w:r>
      <w:r w:rsidRPr="00F658E7">
        <w:rPr>
          <w:rFonts w:asciiTheme="minorHAnsi" w:eastAsia="Palatino Linotype" w:hAnsiTheme="minorHAnsi" w:cstheme="minorHAnsi"/>
          <w:color w:val="auto"/>
          <w:sz w:val="22"/>
          <w:szCs w:val="22"/>
        </w:rPr>
        <w:t xml:space="preserve">ervices and with advice from a specialist access consultant. </w:t>
      </w:r>
      <w:r w:rsidRPr="00F658E7">
        <w:rPr>
          <w:rFonts w:ascii="Calibri" w:hAnsi="Calibri" w:cs="Calibri"/>
          <w:color w:val="auto"/>
          <w:sz w:val="22"/>
          <w:szCs w:val="22"/>
        </w:rPr>
        <w:t xml:space="preserve">It must also be remembered that some learners do not just come to campus for lectures, tutorials, labs or workshops, it is also their home – where they live - and so this objective needs to include </w:t>
      </w:r>
      <w:r w:rsidR="000914A4" w:rsidRPr="00F658E7">
        <w:rPr>
          <w:rFonts w:ascii="Calibri" w:hAnsi="Calibri" w:cs="Calibri"/>
          <w:color w:val="auto"/>
          <w:sz w:val="22"/>
          <w:szCs w:val="22"/>
        </w:rPr>
        <w:t xml:space="preserve">both those disabled students who live off campus </w:t>
      </w:r>
      <w:r w:rsidRPr="00F658E7">
        <w:rPr>
          <w:rFonts w:ascii="Calibri" w:hAnsi="Calibri" w:cs="Calibri"/>
          <w:color w:val="auto"/>
          <w:sz w:val="22"/>
          <w:szCs w:val="22"/>
        </w:rPr>
        <w:t>as well as those who</w:t>
      </w:r>
      <w:r w:rsidR="000914A4" w:rsidRPr="00F658E7">
        <w:rPr>
          <w:rFonts w:ascii="Calibri" w:hAnsi="Calibri" w:cs="Calibri"/>
          <w:color w:val="auto"/>
          <w:sz w:val="22"/>
          <w:szCs w:val="22"/>
        </w:rPr>
        <w:t xml:space="preserve"> live on campus in the halls of residence.</w:t>
      </w:r>
    </w:p>
    <w:p w14:paraId="2A479F88" w14:textId="18BFE97E" w:rsidR="000914A4" w:rsidRPr="00F658E7" w:rsidRDefault="000914A4" w:rsidP="0012782C">
      <w:pPr>
        <w:pStyle w:val="Default"/>
        <w:rPr>
          <w:rFonts w:ascii="Calibri" w:hAnsi="Calibri" w:cs="Calibri"/>
          <w:color w:val="auto"/>
          <w:sz w:val="22"/>
          <w:szCs w:val="22"/>
        </w:rPr>
      </w:pPr>
    </w:p>
    <w:p w14:paraId="180A8A77" w14:textId="3DC2E63C" w:rsidR="000914A4" w:rsidRPr="00F658E7" w:rsidRDefault="000914A4" w:rsidP="0012782C">
      <w:pPr>
        <w:pStyle w:val="Heading3"/>
        <w:spacing w:line="240" w:lineRule="auto"/>
        <w:rPr>
          <w:color w:val="auto"/>
        </w:rPr>
      </w:pPr>
      <w:bookmarkStart w:id="28" w:name="_Toc120609570"/>
      <w:r w:rsidRPr="00F658E7">
        <w:rPr>
          <w:color w:val="auto"/>
        </w:rPr>
        <w:t xml:space="preserve">What will the University do to achieve this </w:t>
      </w:r>
      <w:r w:rsidR="00FB38F9">
        <w:rPr>
          <w:color w:val="auto"/>
        </w:rPr>
        <w:t>o</w:t>
      </w:r>
      <w:r w:rsidRPr="00F658E7">
        <w:rPr>
          <w:color w:val="auto"/>
        </w:rPr>
        <w:t>bjective?</w:t>
      </w:r>
      <w:bookmarkEnd w:id="28"/>
      <w:r w:rsidR="00233AF9">
        <w:rPr>
          <w:color w:val="auto"/>
        </w:rPr>
        <w:t xml:space="preserve"> </w:t>
      </w:r>
    </w:p>
    <w:p w14:paraId="59FAAB35" w14:textId="27238C74" w:rsidR="00BB088C" w:rsidRPr="00D910F0" w:rsidRDefault="00BB088C" w:rsidP="0012782C">
      <w:pPr>
        <w:pStyle w:val="ListParagraph"/>
        <w:numPr>
          <w:ilvl w:val="0"/>
          <w:numId w:val="15"/>
        </w:numPr>
        <w:spacing w:after="0" w:line="240" w:lineRule="auto"/>
        <w:rPr>
          <w:rFonts w:eastAsia="Palatino Linotype" w:cstheme="minorHAnsi"/>
        </w:rPr>
      </w:pPr>
      <w:r w:rsidRPr="00665B84">
        <w:rPr>
          <w:rFonts w:eastAsia="Palatino Linotype" w:cstheme="minorHAnsi"/>
        </w:rPr>
        <w:t>Develop a</w:t>
      </w:r>
      <w:r w:rsidR="00BA1068" w:rsidRPr="00665B84">
        <w:rPr>
          <w:rFonts w:eastAsia="Palatino Linotype" w:cstheme="minorHAnsi"/>
        </w:rPr>
        <w:t>n ongoing Property Services disability</w:t>
      </w:r>
      <w:r w:rsidRPr="00F22E21">
        <w:rPr>
          <w:rFonts w:eastAsia="Palatino Linotype" w:cstheme="minorHAnsi"/>
        </w:rPr>
        <w:t xml:space="preserve"> access stakeholder engagement group</w:t>
      </w:r>
      <w:r w:rsidR="00BA1068" w:rsidRPr="00F22E21">
        <w:rPr>
          <w:rFonts w:eastAsia="Palatino Linotype" w:cstheme="minorHAnsi"/>
        </w:rPr>
        <w:t xml:space="preserve"> to provide advice on </w:t>
      </w:r>
      <w:r w:rsidR="00BA1068" w:rsidRPr="00D910F0">
        <w:rPr>
          <w:rFonts w:eastAsia="Palatino Linotype" w:cstheme="minorHAnsi"/>
        </w:rPr>
        <w:t>all property related works including those that relate to Accommodation Services across both campuses</w:t>
      </w:r>
    </w:p>
    <w:p w14:paraId="7CDEADBC" w14:textId="4099564A" w:rsidR="00BA1068" w:rsidRPr="00D910F0" w:rsidRDefault="00BA1068" w:rsidP="0012782C">
      <w:pPr>
        <w:pStyle w:val="ListParagraph"/>
        <w:numPr>
          <w:ilvl w:val="0"/>
          <w:numId w:val="15"/>
        </w:numPr>
        <w:spacing w:after="0" w:line="240" w:lineRule="auto"/>
        <w:rPr>
          <w:rFonts w:eastAsia="Palatino Linotype" w:cstheme="minorHAnsi"/>
        </w:rPr>
      </w:pPr>
      <w:r w:rsidRPr="00D910F0">
        <w:rPr>
          <w:rFonts w:eastAsia="Palatino Linotype" w:cstheme="minorHAnsi"/>
        </w:rPr>
        <w:t>Commit to a University wide audit of the built environment including all buildings and associated spaces around buildings on both campuses</w:t>
      </w:r>
      <w:r w:rsidR="000F1994" w:rsidRPr="00D910F0">
        <w:rPr>
          <w:rFonts w:eastAsia="Palatino Linotype" w:cstheme="minorHAnsi"/>
        </w:rPr>
        <w:t>.</w:t>
      </w:r>
    </w:p>
    <w:p w14:paraId="30DBEE73" w14:textId="19D00074" w:rsidR="00D00D90" w:rsidRPr="00D910F0" w:rsidRDefault="00D00D90" w:rsidP="0012782C">
      <w:pPr>
        <w:pStyle w:val="ListParagraph"/>
        <w:numPr>
          <w:ilvl w:val="0"/>
          <w:numId w:val="15"/>
        </w:numPr>
        <w:spacing w:after="0" w:line="240" w:lineRule="auto"/>
        <w:rPr>
          <w:rFonts w:eastAsia="Palatino Linotype" w:cstheme="minorHAnsi"/>
        </w:rPr>
      </w:pPr>
      <w:r w:rsidRPr="00D910F0">
        <w:rPr>
          <w:rFonts w:ascii="Calibri" w:eastAsia="Palatino Linotype" w:hAnsi="Calibri" w:cs="Calibri"/>
        </w:rPr>
        <w:t xml:space="preserve">Develop a deeper partnership between </w:t>
      </w:r>
      <w:r w:rsidR="00F760A3" w:rsidRPr="00D910F0">
        <w:rPr>
          <w:rFonts w:ascii="Calibri" w:eastAsia="Palatino Linotype" w:hAnsi="Calibri" w:cs="Calibri"/>
        </w:rPr>
        <w:t>P</w:t>
      </w:r>
      <w:r w:rsidRPr="00D910F0">
        <w:rPr>
          <w:rFonts w:ascii="Calibri" w:eastAsia="Palatino Linotype" w:hAnsi="Calibri" w:cs="Calibri"/>
        </w:rPr>
        <w:t xml:space="preserve">roperty </w:t>
      </w:r>
      <w:r w:rsidR="00F760A3" w:rsidRPr="00D910F0">
        <w:rPr>
          <w:rFonts w:ascii="Calibri" w:eastAsia="Palatino Linotype" w:hAnsi="Calibri" w:cs="Calibri"/>
        </w:rPr>
        <w:t>S</w:t>
      </w:r>
      <w:r w:rsidRPr="00D910F0">
        <w:rPr>
          <w:rFonts w:ascii="Calibri" w:eastAsia="Palatino Linotype" w:hAnsi="Calibri" w:cs="Calibri"/>
        </w:rPr>
        <w:t xml:space="preserve">ervices, </w:t>
      </w:r>
      <w:r w:rsidR="00F760A3" w:rsidRPr="00D910F0">
        <w:rPr>
          <w:rFonts w:ascii="Calibri" w:eastAsia="Palatino Linotype" w:hAnsi="Calibri" w:cs="Calibri"/>
        </w:rPr>
        <w:t>A</w:t>
      </w:r>
      <w:r w:rsidRPr="00D910F0">
        <w:rPr>
          <w:rFonts w:ascii="Calibri" w:eastAsia="Palatino Linotype" w:hAnsi="Calibri" w:cs="Calibri"/>
        </w:rPr>
        <w:t xml:space="preserve">ccommodation </w:t>
      </w:r>
      <w:r w:rsidR="00F760A3" w:rsidRPr="00D910F0">
        <w:rPr>
          <w:rFonts w:ascii="Calibri" w:eastAsia="Palatino Linotype" w:hAnsi="Calibri" w:cs="Calibri"/>
        </w:rPr>
        <w:t>S</w:t>
      </w:r>
      <w:r w:rsidRPr="00D910F0">
        <w:rPr>
          <w:rFonts w:ascii="Calibri" w:eastAsia="Palatino Linotype" w:hAnsi="Calibri" w:cs="Calibri"/>
        </w:rPr>
        <w:t xml:space="preserve">ervices and </w:t>
      </w:r>
      <w:r w:rsidR="00F760A3" w:rsidRPr="00D910F0">
        <w:rPr>
          <w:rFonts w:ascii="Calibri" w:eastAsia="Palatino Linotype" w:hAnsi="Calibri" w:cs="Calibri"/>
        </w:rPr>
        <w:t>A</w:t>
      </w:r>
      <w:r w:rsidRPr="00D910F0">
        <w:rPr>
          <w:rFonts w:ascii="Calibri" w:eastAsia="Palatino Linotype" w:hAnsi="Calibri" w:cs="Calibri"/>
        </w:rPr>
        <w:t xml:space="preserve">ccessibility </w:t>
      </w:r>
      <w:r w:rsidR="00F760A3" w:rsidRPr="00D910F0">
        <w:rPr>
          <w:rFonts w:ascii="Calibri" w:eastAsia="Palatino Linotype" w:hAnsi="Calibri" w:cs="Calibri"/>
        </w:rPr>
        <w:t>S</w:t>
      </w:r>
      <w:r w:rsidRPr="00D910F0">
        <w:rPr>
          <w:rFonts w:ascii="Calibri" w:eastAsia="Palatino Linotype" w:hAnsi="Calibri" w:cs="Calibri"/>
        </w:rPr>
        <w:t xml:space="preserve">ervices as this is key to future work to improve accessibility in </w:t>
      </w:r>
      <w:r w:rsidR="00F760A3" w:rsidRPr="00D910F0">
        <w:rPr>
          <w:rFonts w:ascii="Calibri" w:eastAsia="Palatino Linotype" w:hAnsi="Calibri" w:cs="Calibri"/>
        </w:rPr>
        <w:t>A</w:t>
      </w:r>
      <w:r w:rsidRPr="00D910F0">
        <w:rPr>
          <w:rFonts w:ascii="Calibri" w:eastAsia="Palatino Linotype" w:hAnsi="Calibri" w:cs="Calibri"/>
        </w:rPr>
        <w:t xml:space="preserve">ccommodation </w:t>
      </w:r>
      <w:r w:rsidR="00F760A3" w:rsidRPr="00D910F0">
        <w:rPr>
          <w:rFonts w:ascii="Calibri" w:eastAsia="Palatino Linotype" w:hAnsi="Calibri" w:cs="Calibri"/>
        </w:rPr>
        <w:t>S</w:t>
      </w:r>
      <w:r w:rsidRPr="00D910F0">
        <w:rPr>
          <w:rFonts w:ascii="Calibri" w:eastAsia="Palatino Linotype" w:hAnsi="Calibri" w:cs="Calibri"/>
        </w:rPr>
        <w:t xml:space="preserve">ervices </w:t>
      </w:r>
    </w:p>
    <w:p w14:paraId="5FF6E3CB" w14:textId="02C874D2" w:rsidR="00142492" w:rsidRPr="00F658E7" w:rsidRDefault="00142492" w:rsidP="0012782C">
      <w:pPr>
        <w:pStyle w:val="Default"/>
        <w:numPr>
          <w:ilvl w:val="0"/>
          <w:numId w:val="15"/>
        </w:numPr>
        <w:rPr>
          <w:rFonts w:ascii="Calibri" w:hAnsi="Calibri" w:cs="Calibri"/>
          <w:color w:val="auto"/>
          <w:sz w:val="22"/>
          <w:szCs w:val="22"/>
        </w:rPr>
      </w:pPr>
      <w:r w:rsidRPr="00F658E7">
        <w:rPr>
          <w:rFonts w:ascii="Calibri" w:eastAsia="Palatino Linotype" w:hAnsi="Calibri" w:cs="Calibri"/>
          <w:color w:val="auto"/>
          <w:sz w:val="22"/>
          <w:szCs w:val="22"/>
        </w:rPr>
        <w:t xml:space="preserve">Inform any future programmes of refurbishment/renovation by universal design principles helping to ensure that the University does not </w:t>
      </w:r>
      <w:r w:rsidR="00BA1068" w:rsidRPr="00F658E7">
        <w:rPr>
          <w:rFonts w:ascii="Calibri" w:eastAsia="Palatino Linotype" w:hAnsi="Calibri" w:cs="Calibri"/>
          <w:color w:val="auto"/>
          <w:sz w:val="22"/>
          <w:szCs w:val="22"/>
        </w:rPr>
        <w:t xml:space="preserve">overlook </w:t>
      </w:r>
      <w:r w:rsidRPr="00F658E7">
        <w:rPr>
          <w:rFonts w:ascii="Calibri" w:eastAsia="Palatino Linotype" w:hAnsi="Calibri" w:cs="Calibri"/>
          <w:color w:val="auto"/>
          <w:sz w:val="22"/>
          <w:szCs w:val="22"/>
        </w:rPr>
        <w:t xml:space="preserve">opportunities to provide disabled students with </w:t>
      </w:r>
      <w:r w:rsidR="00FB38F9">
        <w:rPr>
          <w:rFonts w:ascii="Calibri" w:eastAsia="Palatino Linotype" w:hAnsi="Calibri" w:cs="Calibri"/>
          <w:color w:val="auto"/>
          <w:sz w:val="22"/>
          <w:szCs w:val="22"/>
        </w:rPr>
        <w:t xml:space="preserve">the </w:t>
      </w:r>
      <w:r w:rsidRPr="00F658E7">
        <w:rPr>
          <w:rFonts w:ascii="Calibri" w:eastAsia="Palatino Linotype" w:hAnsi="Calibri" w:cs="Calibri"/>
          <w:color w:val="auto"/>
          <w:sz w:val="22"/>
          <w:szCs w:val="22"/>
        </w:rPr>
        <w:t xml:space="preserve">best spaces possible </w:t>
      </w:r>
    </w:p>
    <w:p w14:paraId="6A140862" w14:textId="710C5E08" w:rsidR="00142492" w:rsidRPr="00F658E7" w:rsidRDefault="00142492" w:rsidP="0012782C">
      <w:pPr>
        <w:pStyle w:val="Default"/>
        <w:numPr>
          <w:ilvl w:val="0"/>
          <w:numId w:val="15"/>
        </w:numPr>
        <w:rPr>
          <w:rFonts w:ascii="Calibri" w:hAnsi="Calibri" w:cs="Calibri"/>
          <w:color w:val="auto"/>
          <w:sz w:val="22"/>
          <w:szCs w:val="22"/>
        </w:rPr>
      </w:pPr>
      <w:r w:rsidRPr="00F658E7">
        <w:rPr>
          <w:rFonts w:ascii="Calibri" w:hAnsi="Calibri" w:cs="Calibri"/>
          <w:color w:val="auto"/>
          <w:sz w:val="22"/>
          <w:szCs w:val="22"/>
        </w:rPr>
        <w:t>Increase the attention paid to student safety (e.g.</w:t>
      </w:r>
      <w:r w:rsidR="00F760A3" w:rsidRPr="00F658E7">
        <w:rPr>
          <w:rFonts w:ascii="Calibri" w:hAnsi="Calibri" w:cs="Calibri"/>
          <w:color w:val="auto"/>
          <w:sz w:val="22"/>
          <w:szCs w:val="22"/>
        </w:rPr>
        <w:t>,</w:t>
      </w:r>
      <w:r w:rsidRPr="00F658E7">
        <w:rPr>
          <w:rFonts w:ascii="Calibri" w:hAnsi="Calibri" w:cs="Calibri"/>
          <w:color w:val="auto"/>
          <w:sz w:val="22"/>
          <w:szCs w:val="22"/>
        </w:rPr>
        <w:t xml:space="preserve"> any future refurbished/accessible bathrooms need to have any alarm system to reduce the risk for students who might experience issues when using the facility</w:t>
      </w:r>
      <w:r w:rsidR="00F067ED">
        <w:rPr>
          <w:rFonts w:ascii="Calibri" w:hAnsi="Calibri" w:cs="Calibri"/>
          <w:color w:val="auto"/>
          <w:sz w:val="22"/>
          <w:szCs w:val="22"/>
        </w:rPr>
        <w:t xml:space="preserve"> and review existing access and operation of lifts and electronic doors</w:t>
      </w:r>
      <w:r w:rsidR="00FB38F9">
        <w:rPr>
          <w:rFonts w:ascii="Calibri" w:hAnsi="Calibri" w:cs="Calibri"/>
          <w:color w:val="auto"/>
          <w:sz w:val="22"/>
          <w:szCs w:val="22"/>
        </w:rPr>
        <w:t xml:space="preserve"> and communications associated with outages and breakdowns of these facilities and equipment</w:t>
      </w:r>
      <w:r w:rsidRPr="00F658E7">
        <w:rPr>
          <w:rFonts w:ascii="Calibri" w:hAnsi="Calibri" w:cs="Calibri"/>
          <w:color w:val="auto"/>
          <w:sz w:val="22"/>
          <w:szCs w:val="22"/>
        </w:rPr>
        <w:t>)</w:t>
      </w:r>
    </w:p>
    <w:p w14:paraId="71437D39" w14:textId="5A021172" w:rsidR="00142492" w:rsidRPr="00F658E7" w:rsidRDefault="00142492" w:rsidP="0012782C">
      <w:pPr>
        <w:pStyle w:val="Default"/>
        <w:numPr>
          <w:ilvl w:val="0"/>
          <w:numId w:val="15"/>
        </w:numPr>
        <w:rPr>
          <w:rFonts w:ascii="Calibri" w:hAnsi="Calibri" w:cs="Calibri"/>
          <w:color w:val="auto"/>
          <w:sz w:val="22"/>
          <w:szCs w:val="22"/>
        </w:rPr>
      </w:pPr>
      <w:r w:rsidRPr="00F658E7">
        <w:rPr>
          <w:rFonts w:ascii="Calibri" w:eastAsia="Palatino Linotype" w:hAnsi="Calibri" w:cs="Calibri"/>
          <w:color w:val="auto"/>
          <w:sz w:val="22"/>
          <w:szCs w:val="22"/>
        </w:rPr>
        <w:t xml:space="preserve">Student </w:t>
      </w:r>
      <w:r w:rsidR="00233AF9">
        <w:rPr>
          <w:rFonts w:ascii="Calibri" w:eastAsia="Palatino Linotype" w:hAnsi="Calibri" w:cs="Calibri"/>
          <w:color w:val="auto"/>
          <w:sz w:val="22"/>
          <w:szCs w:val="22"/>
        </w:rPr>
        <w:t>partnership</w:t>
      </w:r>
      <w:r w:rsidR="00233AF9" w:rsidRPr="00F658E7">
        <w:rPr>
          <w:rFonts w:ascii="Calibri" w:eastAsia="Palatino Linotype" w:hAnsi="Calibri" w:cs="Calibri"/>
          <w:color w:val="auto"/>
          <w:sz w:val="22"/>
          <w:szCs w:val="22"/>
        </w:rPr>
        <w:t xml:space="preserve"> </w:t>
      </w:r>
      <w:r w:rsidRPr="00F658E7">
        <w:rPr>
          <w:rFonts w:ascii="Calibri" w:eastAsia="Palatino Linotype" w:hAnsi="Calibri" w:cs="Calibri"/>
          <w:color w:val="auto"/>
          <w:sz w:val="22"/>
          <w:szCs w:val="22"/>
        </w:rPr>
        <w:t>needs to inform accessibility work</w:t>
      </w:r>
      <w:r w:rsidR="008E5DA2" w:rsidRPr="00F658E7">
        <w:rPr>
          <w:rFonts w:ascii="Calibri" w:eastAsia="Palatino Linotype" w:hAnsi="Calibri" w:cs="Calibri"/>
          <w:color w:val="auto"/>
          <w:sz w:val="22"/>
          <w:szCs w:val="22"/>
        </w:rPr>
        <w:t xml:space="preserve"> through </w:t>
      </w:r>
      <w:r w:rsidR="00FB38F9">
        <w:rPr>
          <w:rFonts w:ascii="Calibri" w:eastAsia="Palatino Linotype" w:hAnsi="Calibri" w:cs="Calibri"/>
          <w:color w:val="auto"/>
          <w:sz w:val="22"/>
          <w:szCs w:val="22"/>
        </w:rPr>
        <w:t>co-</w:t>
      </w:r>
      <w:r w:rsidR="008E5DA2" w:rsidRPr="00F658E7">
        <w:rPr>
          <w:rFonts w:ascii="Calibri" w:eastAsia="Palatino Linotype" w:hAnsi="Calibri" w:cs="Calibri"/>
          <w:color w:val="auto"/>
          <w:sz w:val="22"/>
          <w:szCs w:val="22"/>
        </w:rPr>
        <w:t xml:space="preserve">developing a co-design </w:t>
      </w:r>
      <w:r w:rsidR="00873B9C" w:rsidRPr="00F658E7">
        <w:rPr>
          <w:rFonts w:ascii="Calibri" w:eastAsia="Palatino Linotype" w:hAnsi="Calibri" w:cs="Calibri"/>
          <w:color w:val="auto"/>
          <w:sz w:val="22"/>
          <w:szCs w:val="22"/>
        </w:rPr>
        <w:t>approach</w:t>
      </w:r>
    </w:p>
    <w:p w14:paraId="4F5DCD4A" w14:textId="38447620" w:rsidR="00D00D90" w:rsidRPr="00D910F0" w:rsidRDefault="000914A4" w:rsidP="0012782C">
      <w:pPr>
        <w:pStyle w:val="ListParagraph"/>
        <w:numPr>
          <w:ilvl w:val="0"/>
          <w:numId w:val="15"/>
        </w:numPr>
        <w:spacing w:line="240" w:lineRule="auto"/>
        <w:rPr>
          <w:rFonts w:eastAsia="Palatino Linotype" w:cstheme="minorHAnsi"/>
        </w:rPr>
      </w:pPr>
      <w:r w:rsidRPr="00665B84">
        <w:rPr>
          <w:rFonts w:eastAsia="Palatino Linotype" w:cstheme="minorHAnsi"/>
        </w:rPr>
        <w:t>Meet NZ Building Standards (</w:t>
      </w:r>
      <w:r w:rsidRPr="00F22E21">
        <w:rPr>
          <w:rFonts w:eastAsia="Palatino Linotype" w:cstheme="minorHAnsi"/>
        </w:rPr>
        <w:t>ttps://www.building.govt.nz/building-code-compliance/d-access/d1-access-routes/public-accommodation-access/buildings-which-must-be-accessible/</w:t>
      </w:r>
      <w:r w:rsidRPr="00D910F0">
        <w:rPr>
          <w:rFonts w:eastAsia="Palatino Linotype" w:cstheme="minorHAnsi"/>
        </w:rPr>
        <w:t>)</w:t>
      </w:r>
    </w:p>
    <w:p w14:paraId="406D94B6" w14:textId="35747348" w:rsidR="000914A4" w:rsidRPr="00D910F0" w:rsidRDefault="000914A4" w:rsidP="0012782C">
      <w:pPr>
        <w:pStyle w:val="ListParagraph"/>
        <w:numPr>
          <w:ilvl w:val="0"/>
          <w:numId w:val="15"/>
        </w:numPr>
        <w:spacing w:after="0" w:line="240" w:lineRule="auto"/>
        <w:rPr>
          <w:rFonts w:eastAsia="Palatino Linotype" w:cstheme="minorHAnsi"/>
        </w:rPr>
      </w:pPr>
      <w:r w:rsidRPr="00D910F0">
        <w:rPr>
          <w:rFonts w:ascii="Calibri" w:eastAsia="Palatino Linotype" w:hAnsi="Calibri" w:cs="Calibri"/>
        </w:rPr>
        <w:t xml:space="preserve">Property Services, Accommodation team and Accessibility teams review all further refurbishment work to be undertaken at Student Village and Bryant Hall </w:t>
      </w:r>
    </w:p>
    <w:p w14:paraId="286456EB" w14:textId="254552A5" w:rsidR="00BA1068" w:rsidRPr="00F658E7" w:rsidRDefault="00BA1068" w:rsidP="0012782C">
      <w:pPr>
        <w:pStyle w:val="Default"/>
        <w:numPr>
          <w:ilvl w:val="0"/>
          <w:numId w:val="15"/>
        </w:numPr>
        <w:rPr>
          <w:rFonts w:ascii="Calibri" w:hAnsi="Calibri" w:cs="Calibri"/>
          <w:color w:val="auto"/>
          <w:sz w:val="22"/>
          <w:szCs w:val="22"/>
        </w:rPr>
      </w:pPr>
      <w:r w:rsidRPr="00F658E7">
        <w:rPr>
          <w:rFonts w:ascii="Calibri" w:hAnsi="Calibri" w:cs="Calibri"/>
          <w:color w:val="auto"/>
          <w:sz w:val="22"/>
          <w:szCs w:val="22"/>
        </w:rPr>
        <w:t>Develop an accessib</w:t>
      </w:r>
      <w:r w:rsidR="00FB38F9">
        <w:rPr>
          <w:rFonts w:ascii="Calibri" w:hAnsi="Calibri" w:cs="Calibri"/>
          <w:color w:val="auto"/>
          <w:sz w:val="22"/>
          <w:szCs w:val="22"/>
        </w:rPr>
        <w:t>ility</w:t>
      </w:r>
      <w:r w:rsidRPr="00F658E7">
        <w:rPr>
          <w:rFonts w:ascii="Calibri" w:hAnsi="Calibri" w:cs="Calibri"/>
          <w:color w:val="auto"/>
          <w:sz w:val="22"/>
          <w:szCs w:val="22"/>
        </w:rPr>
        <w:t xml:space="preserve"> map that clearly indicates the locations of accessible toilets and bathrooms, accessible entrances and exits to buildings and accessible routes within and around campuses</w:t>
      </w:r>
      <w:r w:rsidR="00F067ED">
        <w:rPr>
          <w:rFonts w:ascii="Calibri" w:hAnsi="Calibri" w:cs="Calibri"/>
          <w:color w:val="auto"/>
          <w:sz w:val="22"/>
          <w:szCs w:val="22"/>
        </w:rPr>
        <w:t xml:space="preserve"> and other wayfinding approaches for students with diverse needs</w:t>
      </w:r>
      <w:r w:rsidRPr="00F658E7">
        <w:rPr>
          <w:rFonts w:ascii="Calibri" w:hAnsi="Calibri" w:cs="Calibri"/>
          <w:color w:val="auto"/>
          <w:sz w:val="22"/>
          <w:szCs w:val="22"/>
        </w:rPr>
        <w:t xml:space="preserve"> </w:t>
      </w:r>
    </w:p>
    <w:p w14:paraId="0FF3ECC4" w14:textId="665E9A61" w:rsidR="000914A4" w:rsidRPr="00F658E7" w:rsidRDefault="000914A4" w:rsidP="0012782C">
      <w:pPr>
        <w:pStyle w:val="Default"/>
        <w:numPr>
          <w:ilvl w:val="0"/>
          <w:numId w:val="15"/>
        </w:numPr>
        <w:rPr>
          <w:rFonts w:ascii="Calibri" w:hAnsi="Calibri" w:cs="Calibri"/>
          <w:color w:val="auto"/>
          <w:sz w:val="22"/>
          <w:szCs w:val="22"/>
        </w:rPr>
      </w:pPr>
      <w:r w:rsidRPr="00F658E7">
        <w:rPr>
          <w:rFonts w:ascii="Calibri" w:hAnsi="Calibri" w:cs="Calibri"/>
          <w:color w:val="auto"/>
          <w:sz w:val="22"/>
          <w:szCs w:val="22"/>
        </w:rPr>
        <w:t xml:space="preserve">Student life is a key aspect of living in student accommodation. Having one unit that is accessible for up to </w:t>
      </w:r>
      <w:r w:rsidR="00F760A3" w:rsidRPr="00F658E7">
        <w:rPr>
          <w:rFonts w:ascii="Calibri" w:hAnsi="Calibri" w:cs="Calibri"/>
          <w:color w:val="auto"/>
          <w:sz w:val="22"/>
          <w:szCs w:val="22"/>
        </w:rPr>
        <w:t>six</w:t>
      </w:r>
      <w:r w:rsidRPr="00F658E7">
        <w:rPr>
          <w:rFonts w:ascii="Calibri" w:hAnsi="Calibri" w:cs="Calibri"/>
          <w:color w:val="auto"/>
          <w:sz w:val="22"/>
          <w:szCs w:val="22"/>
        </w:rPr>
        <w:t xml:space="preserve"> students in Student Village means students who need the accessibility features available in this accommodation are housed together. This forms a 'segregated' type of living situation and isolates students from day to day 'living' and social experiences with a broader student group.</w:t>
      </w:r>
      <w:r w:rsidR="008E5DA2" w:rsidRPr="00F658E7">
        <w:rPr>
          <w:rFonts w:ascii="Calibri" w:hAnsi="Calibri" w:cs="Calibri"/>
          <w:color w:val="auto"/>
          <w:sz w:val="22"/>
          <w:szCs w:val="22"/>
        </w:rPr>
        <w:t xml:space="preserve"> There is a need to redevelop existing accommodation services so disabled students can live amongst their peers and also socialise where and how other students do</w:t>
      </w:r>
    </w:p>
    <w:p w14:paraId="1BCEC7B7" w14:textId="56556D81" w:rsidR="000914A4" w:rsidRPr="00F658E7" w:rsidRDefault="000914A4" w:rsidP="0012782C">
      <w:pPr>
        <w:pStyle w:val="Default"/>
        <w:numPr>
          <w:ilvl w:val="0"/>
          <w:numId w:val="15"/>
        </w:numPr>
        <w:rPr>
          <w:rFonts w:ascii="Calibri" w:hAnsi="Calibri" w:cs="Calibri"/>
          <w:color w:val="auto"/>
          <w:sz w:val="22"/>
          <w:szCs w:val="22"/>
        </w:rPr>
      </w:pPr>
      <w:r w:rsidRPr="00F658E7">
        <w:rPr>
          <w:rFonts w:ascii="Calibri" w:eastAsia="Palatino Linotype" w:hAnsi="Calibri" w:cs="Calibri"/>
          <w:color w:val="auto"/>
          <w:sz w:val="22"/>
          <w:szCs w:val="22"/>
        </w:rPr>
        <w:t>Not all social/shared spaces in the Student Village and College Hall are fully accessible - this includes dining (e.g.</w:t>
      </w:r>
      <w:r w:rsidR="00F760A3" w:rsidRPr="00F658E7">
        <w:rPr>
          <w:rFonts w:ascii="Calibri" w:eastAsia="Palatino Linotype" w:hAnsi="Calibri" w:cs="Calibri"/>
          <w:color w:val="auto"/>
          <w:sz w:val="22"/>
          <w:szCs w:val="22"/>
        </w:rPr>
        <w:t>,</w:t>
      </w:r>
      <w:r w:rsidRPr="00F658E7">
        <w:rPr>
          <w:rFonts w:ascii="Calibri" w:eastAsia="Palatino Linotype" w:hAnsi="Calibri" w:cs="Calibri"/>
          <w:color w:val="auto"/>
          <w:sz w:val="22"/>
          <w:szCs w:val="22"/>
        </w:rPr>
        <w:t xml:space="preserve"> counter heights, lack of tactile indicators etc) </w:t>
      </w:r>
      <w:r w:rsidR="00F760A3" w:rsidRPr="00F658E7">
        <w:rPr>
          <w:rFonts w:ascii="Calibri" w:eastAsia="Palatino Linotype" w:hAnsi="Calibri" w:cs="Calibri"/>
          <w:color w:val="auto"/>
          <w:sz w:val="22"/>
          <w:szCs w:val="22"/>
        </w:rPr>
        <w:t>–</w:t>
      </w:r>
      <w:r w:rsidRPr="00F658E7">
        <w:rPr>
          <w:rFonts w:ascii="Calibri" w:eastAsia="Palatino Linotype" w:hAnsi="Calibri" w:cs="Calibri"/>
          <w:color w:val="auto"/>
          <w:sz w:val="22"/>
          <w:szCs w:val="22"/>
        </w:rPr>
        <w:t xml:space="preserve"> however</w:t>
      </w:r>
      <w:r w:rsidR="00F760A3" w:rsidRPr="00F658E7">
        <w:rPr>
          <w:rFonts w:ascii="Calibri" w:eastAsia="Palatino Linotype" w:hAnsi="Calibri" w:cs="Calibri"/>
          <w:color w:val="auto"/>
          <w:sz w:val="22"/>
          <w:szCs w:val="22"/>
        </w:rPr>
        <w:t>,</w:t>
      </w:r>
      <w:r w:rsidRPr="00F658E7">
        <w:rPr>
          <w:rFonts w:ascii="Calibri" w:eastAsia="Palatino Linotype" w:hAnsi="Calibri" w:cs="Calibri"/>
          <w:color w:val="auto"/>
          <w:sz w:val="22"/>
          <w:szCs w:val="22"/>
        </w:rPr>
        <w:t xml:space="preserve"> it is noted that for example the kitchen/dining staff are very accommodating and provide support to students to access food and drinks</w:t>
      </w:r>
      <w:r w:rsidR="008E5DA2" w:rsidRPr="00F658E7">
        <w:rPr>
          <w:rFonts w:ascii="Calibri" w:eastAsia="Palatino Linotype" w:hAnsi="Calibri" w:cs="Calibri"/>
          <w:color w:val="auto"/>
          <w:sz w:val="22"/>
          <w:szCs w:val="22"/>
        </w:rPr>
        <w:t>. Redesign food services areas in those accommodation services that provide meals to ensure all areas are fully accessible</w:t>
      </w:r>
    </w:p>
    <w:p w14:paraId="78037A3E" w14:textId="6A3AF5EE" w:rsidR="00452FF0" w:rsidRPr="00F658E7" w:rsidRDefault="00452FF0" w:rsidP="0012782C">
      <w:pPr>
        <w:pStyle w:val="Default"/>
        <w:numPr>
          <w:ilvl w:val="0"/>
          <w:numId w:val="15"/>
        </w:numPr>
        <w:rPr>
          <w:rFonts w:ascii="Calibri" w:hAnsi="Calibri" w:cs="Calibri"/>
          <w:color w:val="auto"/>
          <w:sz w:val="22"/>
          <w:szCs w:val="22"/>
        </w:rPr>
      </w:pPr>
      <w:r>
        <w:rPr>
          <w:rFonts w:ascii="Calibri" w:eastAsia="Palatino Linotype" w:hAnsi="Calibri" w:cs="Calibri"/>
          <w:color w:val="auto"/>
          <w:sz w:val="22"/>
          <w:szCs w:val="22"/>
        </w:rPr>
        <w:t xml:space="preserve">Partner with users of new spaces to learn what else could and should be catered for in the development of spaces and to ensure that the right kinds of </w:t>
      </w:r>
      <w:r w:rsidR="00C21708">
        <w:rPr>
          <w:rFonts w:ascii="Calibri" w:eastAsia="Palatino Linotype" w:hAnsi="Calibri" w:cs="Calibri"/>
          <w:color w:val="auto"/>
          <w:sz w:val="22"/>
          <w:szCs w:val="22"/>
        </w:rPr>
        <w:t xml:space="preserve">universal </w:t>
      </w:r>
      <w:r>
        <w:rPr>
          <w:rFonts w:ascii="Calibri" w:eastAsia="Palatino Linotype" w:hAnsi="Calibri" w:cs="Calibri"/>
          <w:color w:val="auto"/>
          <w:sz w:val="22"/>
          <w:szCs w:val="22"/>
        </w:rPr>
        <w:t xml:space="preserve">design </w:t>
      </w:r>
      <w:r w:rsidR="00C21708">
        <w:rPr>
          <w:rFonts w:ascii="Calibri" w:eastAsia="Palatino Linotype" w:hAnsi="Calibri" w:cs="Calibri"/>
          <w:color w:val="auto"/>
          <w:sz w:val="22"/>
          <w:szCs w:val="22"/>
        </w:rPr>
        <w:t>principles</w:t>
      </w:r>
      <w:r>
        <w:rPr>
          <w:rFonts w:ascii="Calibri" w:eastAsia="Palatino Linotype" w:hAnsi="Calibri" w:cs="Calibri"/>
          <w:color w:val="auto"/>
          <w:sz w:val="22"/>
          <w:szCs w:val="22"/>
        </w:rPr>
        <w:t xml:space="preserve"> are captured in the implementation of the University’s Campus Master Plan</w:t>
      </w:r>
    </w:p>
    <w:p w14:paraId="156D4C62" w14:textId="77777777" w:rsidR="000914A4" w:rsidRPr="00F658E7" w:rsidRDefault="000914A4" w:rsidP="0012782C">
      <w:pPr>
        <w:pStyle w:val="Default"/>
        <w:rPr>
          <w:rFonts w:ascii="Calibri" w:hAnsi="Calibri" w:cs="Calibri"/>
          <w:color w:val="auto"/>
          <w:sz w:val="22"/>
          <w:szCs w:val="22"/>
        </w:rPr>
      </w:pPr>
    </w:p>
    <w:p w14:paraId="352EE535" w14:textId="4370963D" w:rsidR="000914A4" w:rsidRPr="00F658E7" w:rsidRDefault="000914A4" w:rsidP="0012782C">
      <w:pPr>
        <w:pStyle w:val="Heading2"/>
        <w:spacing w:line="240" w:lineRule="auto"/>
        <w:rPr>
          <w:color w:val="auto"/>
        </w:rPr>
      </w:pPr>
      <w:bookmarkStart w:id="29" w:name="_Toc120609571"/>
      <w:r w:rsidRPr="00F658E7">
        <w:rPr>
          <w:color w:val="auto"/>
        </w:rPr>
        <w:t xml:space="preserve">OBJECTIVE 3: </w:t>
      </w:r>
      <w:r w:rsidR="008E5DA2" w:rsidRPr="00F658E7">
        <w:rPr>
          <w:color w:val="auto"/>
        </w:rPr>
        <w:t>BE AN</w:t>
      </w:r>
      <w:r w:rsidR="0031510F" w:rsidRPr="00F658E7">
        <w:rPr>
          <w:color w:val="auto"/>
        </w:rPr>
        <w:t xml:space="preserve"> INCLUSIVE TEACHING AND LEARNING ENVIRONMENT</w:t>
      </w:r>
      <w:bookmarkEnd w:id="29"/>
    </w:p>
    <w:p w14:paraId="421C07FB" w14:textId="6F804F04" w:rsidR="000914A4" w:rsidRPr="00F658E7" w:rsidRDefault="000914A4" w:rsidP="0012782C">
      <w:pPr>
        <w:pStyle w:val="Default"/>
        <w:rPr>
          <w:rFonts w:ascii="Calibri" w:hAnsi="Calibri" w:cs="Calibri"/>
          <w:color w:val="auto"/>
          <w:sz w:val="22"/>
          <w:szCs w:val="22"/>
        </w:rPr>
      </w:pPr>
      <w:r w:rsidRPr="00F658E7">
        <w:rPr>
          <w:rFonts w:ascii="Calibri" w:hAnsi="Calibri" w:cs="Calibri"/>
          <w:color w:val="auto"/>
          <w:sz w:val="22"/>
          <w:szCs w:val="22"/>
        </w:rPr>
        <w:t xml:space="preserve">The University’s Academic Plan 2022-2026 Objective 2 is to ‘Make the University a more inclusive teaching and learning environment for all’. This objective and the more specific objective in the DAP of making the University a more inclusive teaching and learning environment for disabled students dovetail. This work to ensure </w:t>
      </w:r>
      <w:r w:rsidR="00BB329C" w:rsidRPr="00F658E7">
        <w:rPr>
          <w:rFonts w:ascii="Calibri" w:hAnsi="Calibri" w:cs="Calibri"/>
          <w:color w:val="auto"/>
          <w:sz w:val="22"/>
          <w:szCs w:val="22"/>
        </w:rPr>
        <w:t xml:space="preserve">that </w:t>
      </w:r>
      <w:r w:rsidRPr="00F658E7">
        <w:rPr>
          <w:rFonts w:ascii="Calibri" w:hAnsi="Calibri" w:cs="Calibri"/>
          <w:color w:val="auto"/>
          <w:sz w:val="22"/>
          <w:szCs w:val="22"/>
        </w:rPr>
        <w:t>disabled students are full</w:t>
      </w:r>
      <w:r w:rsidR="00F760A3" w:rsidRPr="00F658E7">
        <w:rPr>
          <w:rFonts w:ascii="Calibri" w:hAnsi="Calibri" w:cs="Calibri"/>
          <w:color w:val="auto"/>
          <w:sz w:val="22"/>
          <w:szCs w:val="22"/>
        </w:rPr>
        <w:t>y</w:t>
      </w:r>
      <w:r w:rsidRPr="00F658E7">
        <w:rPr>
          <w:rFonts w:ascii="Calibri" w:hAnsi="Calibri" w:cs="Calibri"/>
          <w:color w:val="auto"/>
          <w:sz w:val="22"/>
          <w:szCs w:val="22"/>
        </w:rPr>
        <w:t xml:space="preserve"> included</w:t>
      </w:r>
      <w:r w:rsidR="00BB329C" w:rsidRPr="00F658E7">
        <w:rPr>
          <w:rFonts w:ascii="Calibri" w:hAnsi="Calibri" w:cs="Calibri"/>
          <w:color w:val="auto"/>
          <w:sz w:val="22"/>
          <w:szCs w:val="22"/>
        </w:rPr>
        <w:t xml:space="preserve"> in learning environments</w:t>
      </w:r>
      <w:r w:rsidRPr="00F658E7">
        <w:rPr>
          <w:rFonts w:ascii="Calibri" w:hAnsi="Calibri" w:cs="Calibri"/>
          <w:color w:val="auto"/>
          <w:sz w:val="22"/>
          <w:szCs w:val="22"/>
        </w:rPr>
        <w:t xml:space="preserve"> aligns with recommendations in the Report of the Taskforce; the Report states: “In addressing racism, we need to also address the intersectionality of racism, sexism, ableism and other forms of discrimination” (p. 3). As is acknowledged in the Kia </w:t>
      </w:r>
      <w:proofErr w:type="spellStart"/>
      <w:r w:rsidRPr="00F658E7">
        <w:rPr>
          <w:rFonts w:ascii="Calibri" w:hAnsi="Calibri" w:cs="Calibri"/>
          <w:color w:val="auto"/>
          <w:sz w:val="22"/>
          <w:szCs w:val="22"/>
        </w:rPr>
        <w:t>Ōrite</w:t>
      </w:r>
      <w:proofErr w:type="spellEnd"/>
      <w:r w:rsidRPr="00F658E7">
        <w:rPr>
          <w:rFonts w:ascii="Calibri" w:hAnsi="Calibri" w:cs="Calibri"/>
          <w:color w:val="auto"/>
          <w:sz w:val="22"/>
          <w:szCs w:val="22"/>
        </w:rPr>
        <w:t xml:space="preserve"> Toolkit – A New Zealand code of practice, July 2021 “Intersectional social forces position disabled people inside hierarchical environments already layered with discriminatory practices based on race and ethnicity, class, gender, sexual orientations and other social identities.” We understand that every student learns differently, and therefore as individual educators and as a </w:t>
      </w:r>
      <w:r w:rsidR="00C1642C">
        <w:rPr>
          <w:rFonts w:ascii="Calibri" w:hAnsi="Calibri" w:cs="Calibri"/>
          <w:color w:val="auto"/>
          <w:sz w:val="22"/>
          <w:szCs w:val="22"/>
        </w:rPr>
        <w:t>U</w:t>
      </w:r>
      <w:r w:rsidRPr="00F658E7">
        <w:rPr>
          <w:rFonts w:ascii="Calibri" w:hAnsi="Calibri" w:cs="Calibri"/>
          <w:color w:val="auto"/>
          <w:sz w:val="22"/>
          <w:szCs w:val="22"/>
        </w:rPr>
        <w:t xml:space="preserve">niversity, we must be flexible in our approach in order to achieve this objective. </w:t>
      </w:r>
      <w:r w:rsidR="00233AF9">
        <w:rPr>
          <w:rFonts w:ascii="Calibri" w:hAnsi="Calibri" w:cs="Calibri"/>
          <w:color w:val="auto"/>
          <w:sz w:val="22"/>
          <w:szCs w:val="22"/>
        </w:rPr>
        <w:t xml:space="preserve">This work will build on the work currently underway as part of the University’s </w:t>
      </w:r>
      <w:proofErr w:type="spellStart"/>
      <w:r w:rsidR="00233AF9">
        <w:rPr>
          <w:rFonts w:ascii="Calibri" w:hAnsi="Calibri" w:cs="Calibri"/>
          <w:color w:val="auto"/>
          <w:sz w:val="22"/>
          <w:szCs w:val="22"/>
        </w:rPr>
        <w:t>Ōritetanga</w:t>
      </w:r>
      <w:proofErr w:type="spellEnd"/>
      <w:r w:rsidR="00233AF9">
        <w:rPr>
          <w:rFonts w:ascii="Calibri" w:hAnsi="Calibri" w:cs="Calibri"/>
          <w:color w:val="auto"/>
          <w:sz w:val="22"/>
          <w:szCs w:val="22"/>
        </w:rPr>
        <w:t xml:space="preserve"> and </w:t>
      </w:r>
      <w:proofErr w:type="spellStart"/>
      <w:r w:rsidR="00233AF9">
        <w:rPr>
          <w:rFonts w:ascii="Calibri" w:hAnsi="Calibri" w:cs="Calibri"/>
          <w:color w:val="auto"/>
          <w:sz w:val="22"/>
          <w:szCs w:val="22"/>
        </w:rPr>
        <w:t>Te</w:t>
      </w:r>
      <w:proofErr w:type="spellEnd"/>
      <w:r w:rsidR="00233AF9">
        <w:rPr>
          <w:rFonts w:ascii="Calibri" w:hAnsi="Calibri" w:cs="Calibri"/>
          <w:color w:val="auto"/>
          <w:sz w:val="22"/>
          <w:szCs w:val="22"/>
        </w:rPr>
        <w:t xml:space="preserve"> Aurei programmes.</w:t>
      </w:r>
    </w:p>
    <w:p w14:paraId="486AF296" w14:textId="77777777" w:rsidR="000914A4" w:rsidRPr="00F658E7" w:rsidRDefault="000914A4" w:rsidP="0012782C">
      <w:pPr>
        <w:pStyle w:val="Default"/>
        <w:rPr>
          <w:rFonts w:ascii="Calibri" w:hAnsi="Calibri" w:cs="Calibri"/>
          <w:color w:val="auto"/>
          <w:sz w:val="22"/>
          <w:szCs w:val="22"/>
        </w:rPr>
      </w:pPr>
    </w:p>
    <w:p w14:paraId="49E94C7E" w14:textId="28644CCF" w:rsidR="000914A4" w:rsidRPr="00F658E7" w:rsidRDefault="000914A4" w:rsidP="0012782C">
      <w:pPr>
        <w:pStyle w:val="Heading3"/>
        <w:spacing w:line="240" w:lineRule="auto"/>
        <w:rPr>
          <w:color w:val="auto"/>
        </w:rPr>
      </w:pPr>
      <w:bookmarkStart w:id="30" w:name="_Toc120609572"/>
      <w:r w:rsidRPr="00F658E7">
        <w:rPr>
          <w:color w:val="auto"/>
        </w:rPr>
        <w:t xml:space="preserve">What will the University do to achieve this </w:t>
      </w:r>
      <w:r w:rsidR="00C1642C">
        <w:rPr>
          <w:color w:val="auto"/>
        </w:rPr>
        <w:t>o</w:t>
      </w:r>
      <w:r w:rsidRPr="00F658E7">
        <w:rPr>
          <w:color w:val="auto"/>
        </w:rPr>
        <w:t>bjective?</w:t>
      </w:r>
      <w:bookmarkEnd w:id="30"/>
    </w:p>
    <w:p w14:paraId="25626BF3" w14:textId="7C0811A0" w:rsidR="000914A4" w:rsidRPr="00F658E7" w:rsidRDefault="000914A4" w:rsidP="0012782C">
      <w:pPr>
        <w:pStyle w:val="Default"/>
        <w:numPr>
          <w:ilvl w:val="0"/>
          <w:numId w:val="7"/>
        </w:numPr>
        <w:rPr>
          <w:rFonts w:ascii="Calibri" w:hAnsi="Calibri" w:cs="Calibri"/>
          <w:color w:val="auto"/>
          <w:sz w:val="22"/>
          <w:szCs w:val="22"/>
        </w:rPr>
      </w:pPr>
      <w:r w:rsidRPr="00F658E7">
        <w:rPr>
          <w:rFonts w:ascii="Calibri" w:hAnsi="Calibri" w:cs="Calibri"/>
          <w:color w:val="auto"/>
          <w:sz w:val="22"/>
          <w:szCs w:val="22"/>
        </w:rPr>
        <w:t xml:space="preserve">Continue to promote the work of Accessibility Services </w:t>
      </w:r>
      <w:r w:rsidR="00C1642C">
        <w:rPr>
          <w:rFonts w:ascii="Calibri" w:hAnsi="Calibri" w:cs="Calibri"/>
          <w:color w:val="auto"/>
          <w:sz w:val="22"/>
          <w:szCs w:val="22"/>
        </w:rPr>
        <w:t>which</w:t>
      </w:r>
      <w:r w:rsidR="00C1642C" w:rsidRPr="00F658E7">
        <w:rPr>
          <w:rFonts w:ascii="Calibri" w:hAnsi="Calibri" w:cs="Calibri"/>
          <w:color w:val="auto"/>
          <w:sz w:val="22"/>
          <w:szCs w:val="22"/>
        </w:rPr>
        <w:t xml:space="preserve"> </w:t>
      </w:r>
      <w:r w:rsidRPr="00F658E7">
        <w:rPr>
          <w:rFonts w:ascii="Calibri" w:hAnsi="Calibri" w:cs="Calibri"/>
          <w:color w:val="auto"/>
          <w:sz w:val="22"/>
          <w:szCs w:val="22"/>
        </w:rPr>
        <w:t>collaborate</w:t>
      </w:r>
      <w:r w:rsidR="00C1642C">
        <w:rPr>
          <w:rFonts w:ascii="Calibri" w:hAnsi="Calibri" w:cs="Calibri"/>
          <w:color w:val="auto"/>
          <w:sz w:val="22"/>
          <w:szCs w:val="22"/>
        </w:rPr>
        <w:t>s</w:t>
      </w:r>
      <w:r w:rsidRPr="00F658E7">
        <w:rPr>
          <w:rFonts w:ascii="Calibri" w:hAnsi="Calibri" w:cs="Calibri"/>
          <w:color w:val="auto"/>
          <w:sz w:val="22"/>
          <w:szCs w:val="22"/>
        </w:rPr>
        <w:t xml:space="preserve"> with </w:t>
      </w:r>
      <w:r w:rsidR="00C1642C">
        <w:rPr>
          <w:rFonts w:ascii="Calibri" w:hAnsi="Calibri" w:cs="Calibri"/>
          <w:color w:val="auto"/>
          <w:sz w:val="22"/>
          <w:szCs w:val="22"/>
        </w:rPr>
        <w:t xml:space="preserve">disabled </w:t>
      </w:r>
      <w:r w:rsidRPr="00F658E7">
        <w:rPr>
          <w:rFonts w:ascii="Calibri" w:hAnsi="Calibri" w:cs="Calibri"/>
          <w:color w:val="auto"/>
          <w:sz w:val="22"/>
          <w:szCs w:val="22"/>
        </w:rPr>
        <w:t>students</w:t>
      </w:r>
      <w:r w:rsidR="00C1642C">
        <w:rPr>
          <w:rFonts w:ascii="Calibri" w:hAnsi="Calibri" w:cs="Calibri"/>
          <w:color w:val="auto"/>
          <w:sz w:val="22"/>
          <w:szCs w:val="22"/>
        </w:rPr>
        <w:t xml:space="preserve"> and students with</w:t>
      </w:r>
      <w:r w:rsidRPr="00F658E7">
        <w:rPr>
          <w:rFonts w:ascii="Calibri" w:hAnsi="Calibri" w:cs="Calibri"/>
          <w:color w:val="auto"/>
          <w:sz w:val="22"/>
          <w:szCs w:val="22"/>
        </w:rPr>
        <w:t xml:space="preserve"> </w:t>
      </w:r>
      <w:proofErr w:type="spellStart"/>
      <w:r w:rsidRPr="00F658E7">
        <w:rPr>
          <w:rFonts w:ascii="Calibri" w:hAnsi="Calibri" w:cs="Calibri"/>
          <w:color w:val="auto"/>
          <w:sz w:val="22"/>
          <w:szCs w:val="22"/>
        </w:rPr>
        <w:t>with</w:t>
      </w:r>
      <w:proofErr w:type="spellEnd"/>
      <w:r w:rsidRPr="00F658E7">
        <w:rPr>
          <w:rFonts w:ascii="Calibri" w:hAnsi="Calibri" w:cs="Calibri"/>
          <w:color w:val="auto"/>
          <w:sz w:val="22"/>
          <w:szCs w:val="22"/>
        </w:rPr>
        <w:t xml:space="preserve"> </w:t>
      </w:r>
      <w:r w:rsidR="00C1642C">
        <w:rPr>
          <w:rFonts w:ascii="Calibri" w:hAnsi="Calibri" w:cs="Calibri"/>
          <w:color w:val="auto"/>
          <w:sz w:val="22"/>
          <w:szCs w:val="22"/>
        </w:rPr>
        <w:t xml:space="preserve">health and other </w:t>
      </w:r>
      <w:r w:rsidRPr="00F658E7">
        <w:rPr>
          <w:rFonts w:ascii="Calibri" w:hAnsi="Calibri" w:cs="Calibri"/>
          <w:color w:val="auto"/>
          <w:sz w:val="22"/>
          <w:szCs w:val="22"/>
        </w:rPr>
        <w:t xml:space="preserve">impairments to reach their goals and achieve their full academic potential </w:t>
      </w:r>
    </w:p>
    <w:p w14:paraId="4BD41195" w14:textId="3E34B2D7" w:rsidR="000914A4" w:rsidRPr="00F658E7" w:rsidRDefault="000914A4" w:rsidP="0012782C">
      <w:pPr>
        <w:pStyle w:val="Default"/>
        <w:numPr>
          <w:ilvl w:val="0"/>
          <w:numId w:val="7"/>
        </w:numPr>
        <w:rPr>
          <w:rFonts w:ascii="Calibri" w:hAnsi="Calibri" w:cs="Calibri"/>
          <w:color w:val="auto"/>
          <w:sz w:val="22"/>
          <w:szCs w:val="22"/>
        </w:rPr>
      </w:pPr>
      <w:r w:rsidRPr="00F658E7">
        <w:rPr>
          <w:rFonts w:ascii="Calibri" w:hAnsi="Calibri" w:cs="Calibri"/>
          <w:color w:val="auto"/>
          <w:sz w:val="22"/>
          <w:szCs w:val="22"/>
        </w:rPr>
        <w:t xml:space="preserve">Develop strategies to create accessible physical and online learning environments focusing on issues such as communication with students, physical spaces of learning, course materials, the culture of the teaching space and practical components of papers </w:t>
      </w:r>
    </w:p>
    <w:p w14:paraId="21B365D6" w14:textId="79EB5A3E" w:rsidR="000914A4" w:rsidRDefault="009B1725" w:rsidP="0012782C">
      <w:pPr>
        <w:pStyle w:val="Default"/>
        <w:numPr>
          <w:ilvl w:val="0"/>
          <w:numId w:val="7"/>
        </w:numPr>
        <w:rPr>
          <w:rFonts w:ascii="Calibri" w:hAnsi="Calibri" w:cs="Calibri"/>
          <w:color w:val="auto"/>
          <w:sz w:val="22"/>
          <w:szCs w:val="22"/>
        </w:rPr>
      </w:pPr>
      <w:r>
        <w:rPr>
          <w:rFonts w:ascii="Calibri" w:hAnsi="Calibri" w:cs="Calibri"/>
          <w:color w:val="auto"/>
          <w:sz w:val="22"/>
          <w:szCs w:val="22"/>
        </w:rPr>
        <w:t xml:space="preserve">Provide opportunities </w:t>
      </w:r>
      <w:r w:rsidR="000914A4" w:rsidRPr="00F658E7">
        <w:rPr>
          <w:rFonts w:ascii="Calibri" w:hAnsi="Calibri" w:cs="Calibri"/>
          <w:color w:val="auto"/>
          <w:sz w:val="22"/>
          <w:szCs w:val="22"/>
        </w:rPr>
        <w:t xml:space="preserve">to bring lecturers together to discuss inclusive teaching with the aim of helping to build an understanding and appreciation of UDL. </w:t>
      </w:r>
      <w:r>
        <w:rPr>
          <w:rFonts w:ascii="Calibri" w:hAnsi="Calibri" w:cs="Calibri"/>
          <w:color w:val="auto"/>
          <w:sz w:val="22"/>
          <w:szCs w:val="22"/>
        </w:rPr>
        <w:t>This</w:t>
      </w:r>
      <w:r w:rsidR="000914A4" w:rsidRPr="00F658E7">
        <w:rPr>
          <w:rFonts w:ascii="Calibri" w:hAnsi="Calibri" w:cs="Calibri"/>
          <w:color w:val="auto"/>
          <w:sz w:val="22"/>
          <w:szCs w:val="22"/>
        </w:rPr>
        <w:t xml:space="preserve"> will also help lecturers to feel more confident in seeking out help/advice/resource</w:t>
      </w:r>
      <w:r w:rsidR="00E20308">
        <w:rPr>
          <w:rFonts w:ascii="Calibri" w:hAnsi="Calibri" w:cs="Calibri"/>
          <w:color w:val="auto"/>
          <w:sz w:val="22"/>
          <w:szCs w:val="22"/>
        </w:rPr>
        <w:t>s</w:t>
      </w:r>
      <w:r>
        <w:rPr>
          <w:rFonts w:ascii="Calibri" w:hAnsi="Calibri" w:cs="Calibri"/>
          <w:color w:val="auto"/>
          <w:sz w:val="22"/>
          <w:szCs w:val="22"/>
        </w:rPr>
        <w:t xml:space="preserve">. </w:t>
      </w:r>
      <w:r w:rsidR="00C1642C">
        <w:rPr>
          <w:rFonts w:ascii="Calibri" w:hAnsi="Calibri" w:cs="Calibri"/>
          <w:color w:val="auto"/>
          <w:sz w:val="22"/>
          <w:szCs w:val="22"/>
        </w:rPr>
        <w:t xml:space="preserve">This </w:t>
      </w:r>
      <w:r w:rsidR="00C1642C" w:rsidRPr="00F658E7">
        <w:rPr>
          <w:rFonts w:ascii="Calibri" w:hAnsi="Calibri" w:cs="Calibri"/>
          <w:color w:val="auto"/>
          <w:sz w:val="22"/>
          <w:szCs w:val="22"/>
        </w:rPr>
        <w:t>work</w:t>
      </w:r>
      <w:r w:rsidR="00344A7A" w:rsidRPr="00F658E7">
        <w:rPr>
          <w:rFonts w:ascii="Calibri" w:hAnsi="Calibri" w:cs="Calibri"/>
          <w:color w:val="auto"/>
          <w:sz w:val="22"/>
          <w:szCs w:val="22"/>
        </w:rPr>
        <w:t xml:space="preserve"> will be co-developed and co-delivered with disabled students</w:t>
      </w:r>
    </w:p>
    <w:p w14:paraId="0E4F87AF" w14:textId="0B06C27C" w:rsidR="009B1725" w:rsidRDefault="009B1725" w:rsidP="0012782C">
      <w:pPr>
        <w:pStyle w:val="Default"/>
        <w:numPr>
          <w:ilvl w:val="0"/>
          <w:numId w:val="7"/>
        </w:numPr>
        <w:rPr>
          <w:rFonts w:ascii="Calibri" w:hAnsi="Calibri" w:cs="Calibri"/>
          <w:color w:val="auto"/>
          <w:sz w:val="22"/>
          <w:szCs w:val="22"/>
        </w:rPr>
      </w:pPr>
      <w:r>
        <w:rPr>
          <w:rFonts w:ascii="Calibri" w:hAnsi="Calibri" w:cs="Calibri"/>
          <w:color w:val="auto"/>
          <w:sz w:val="22"/>
          <w:szCs w:val="22"/>
        </w:rPr>
        <w:t xml:space="preserve">Investigate and implement ways </w:t>
      </w:r>
      <w:r w:rsidRPr="00F658E7">
        <w:rPr>
          <w:rFonts w:ascii="Calibri" w:hAnsi="Calibri" w:cs="Calibri"/>
          <w:color w:val="auto"/>
          <w:sz w:val="22"/>
          <w:szCs w:val="22"/>
        </w:rPr>
        <w:t>to improve and extend use of captioning for lectures and workshops.</w:t>
      </w:r>
    </w:p>
    <w:p w14:paraId="1D5FB689" w14:textId="762D72A1" w:rsidR="009B1725" w:rsidRPr="009B1725" w:rsidRDefault="009B1725" w:rsidP="0012782C">
      <w:pPr>
        <w:pStyle w:val="Default"/>
        <w:numPr>
          <w:ilvl w:val="0"/>
          <w:numId w:val="7"/>
        </w:numPr>
        <w:rPr>
          <w:rFonts w:ascii="Calibri" w:hAnsi="Calibri" w:cs="Calibri"/>
          <w:color w:val="auto"/>
          <w:sz w:val="22"/>
          <w:szCs w:val="22"/>
        </w:rPr>
      </w:pPr>
      <w:r>
        <w:rPr>
          <w:rFonts w:ascii="Calibri" w:hAnsi="Calibri" w:cs="Calibri"/>
          <w:color w:val="auto"/>
          <w:sz w:val="22"/>
          <w:szCs w:val="22"/>
        </w:rPr>
        <w:t xml:space="preserve">Use the planned upgrade of Moodle to leverage opportunities </w:t>
      </w:r>
      <w:r w:rsidRPr="00F658E7">
        <w:rPr>
          <w:rFonts w:ascii="Calibri" w:hAnsi="Calibri" w:cs="Calibri"/>
          <w:color w:val="auto"/>
          <w:sz w:val="22"/>
          <w:szCs w:val="22"/>
        </w:rPr>
        <w:t xml:space="preserve">to improve the accessibility of Moodle course </w:t>
      </w:r>
      <w:r>
        <w:rPr>
          <w:rFonts w:ascii="Calibri" w:hAnsi="Calibri" w:cs="Calibri"/>
          <w:color w:val="auto"/>
          <w:sz w:val="22"/>
          <w:szCs w:val="22"/>
        </w:rPr>
        <w:t xml:space="preserve">sites </w:t>
      </w:r>
      <w:r w:rsidRPr="00F658E7">
        <w:rPr>
          <w:rFonts w:ascii="Calibri" w:hAnsi="Calibri" w:cs="Calibri"/>
          <w:color w:val="auto"/>
          <w:sz w:val="22"/>
          <w:szCs w:val="22"/>
        </w:rPr>
        <w:t xml:space="preserve">for all students. </w:t>
      </w:r>
    </w:p>
    <w:p w14:paraId="7A567B03" w14:textId="68439EBA" w:rsidR="000914A4" w:rsidRPr="00F658E7" w:rsidRDefault="000914A4" w:rsidP="0012782C">
      <w:pPr>
        <w:pStyle w:val="Default"/>
        <w:numPr>
          <w:ilvl w:val="0"/>
          <w:numId w:val="8"/>
        </w:numPr>
        <w:rPr>
          <w:rFonts w:ascii="Calibri" w:hAnsi="Calibri" w:cs="Calibri"/>
          <w:color w:val="auto"/>
          <w:sz w:val="22"/>
          <w:szCs w:val="22"/>
        </w:rPr>
      </w:pPr>
      <w:r w:rsidRPr="00F658E7">
        <w:rPr>
          <w:rFonts w:ascii="Calibri" w:hAnsi="Calibri" w:cs="Calibri"/>
          <w:color w:val="auto"/>
          <w:sz w:val="22"/>
          <w:szCs w:val="22"/>
        </w:rPr>
        <w:t xml:space="preserve">Provide more for-credit and not for-credit learning development opportunities for colleagues, in </w:t>
      </w:r>
      <w:r w:rsidR="00BB329C" w:rsidRPr="00F658E7">
        <w:rPr>
          <w:rFonts w:ascii="Calibri" w:hAnsi="Calibri" w:cs="Calibri"/>
          <w:color w:val="auto"/>
          <w:sz w:val="22"/>
          <w:szCs w:val="22"/>
        </w:rPr>
        <w:t xml:space="preserve">a </w:t>
      </w:r>
      <w:r w:rsidRPr="00F658E7">
        <w:rPr>
          <w:rFonts w:ascii="Calibri" w:hAnsi="Calibri" w:cs="Calibri"/>
          <w:color w:val="auto"/>
          <w:sz w:val="22"/>
          <w:szCs w:val="22"/>
        </w:rPr>
        <w:t xml:space="preserve">range of formats, and encourage and enable them to take up these opportunities, so they are better able to support disabled students through understanding their individual learning styles and challenges </w:t>
      </w:r>
    </w:p>
    <w:p w14:paraId="62BA0BBD" w14:textId="0A8489A3" w:rsidR="000914A4" w:rsidRPr="00F658E7" w:rsidRDefault="000914A4" w:rsidP="0012782C">
      <w:pPr>
        <w:pStyle w:val="Default"/>
        <w:numPr>
          <w:ilvl w:val="0"/>
          <w:numId w:val="8"/>
        </w:numPr>
        <w:rPr>
          <w:rFonts w:ascii="Calibri" w:hAnsi="Calibri" w:cs="Calibri"/>
          <w:color w:val="auto"/>
          <w:sz w:val="22"/>
          <w:szCs w:val="22"/>
        </w:rPr>
      </w:pPr>
      <w:r w:rsidRPr="00F658E7">
        <w:rPr>
          <w:rFonts w:ascii="Calibri" w:hAnsi="Calibri" w:cs="Calibri"/>
          <w:color w:val="auto"/>
          <w:sz w:val="22"/>
          <w:szCs w:val="22"/>
        </w:rPr>
        <w:t xml:space="preserve">Progress Phase </w:t>
      </w:r>
      <w:r w:rsidR="00C21708">
        <w:rPr>
          <w:rFonts w:ascii="Calibri" w:hAnsi="Calibri" w:cs="Calibri"/>
          <w:color w:val="auto"/>
          <w:sz w:val="22"/>
          <w:szCs w:val="22"/>
        </w:rPr>
        <w:t>Three</w:t>
      </w:r>
      <w:r w:rsidR="00C21708" w:rsidRPr="00F658E7">
        <w:rPr>
          <w:rFonts w:ascii="Calibri" w:hAnsi="Calibri" w:cs="Calibri"/>
          <w:color w:val="auto"/>
          <w:sz w:val="22"/>
          <w:szCs w:val="22"/>
        </w:rPr>
        <w:t xml:space="preserve"> </w:t>
      </w:r>
      <w:r w:rsidRPr="00F658E7">
        <w:rPr>
          <w:rFonts w:ascii="Calibri" w:hAnsi="Calibri" w:cs="Calibri"/>
          <w:color w:val="auto"/>
          <w:sz w:val="22"/>
          <w:szCs w:val="22"/>
        </w:rPr>
        <w:t xml:space="preserve">of the </w:t>
      </w:r>
      <w:proofErr w:type="spellStart"/>
      <w:r w:rsidRPr="00F658E7">
        <w:rPr>
          <w:rFonts w:ascii="Calibri" w:hAnsi="Calibri" w:cs="Calibri"/>
          <w:color w:val="auto"/>
          <w:sz w:val="22"/>
          <w:szCs w:val="22"/>
        </w:rPr>
        <w:t>Ōritetanga</w:t>
      </w:r>
      <w:proofErr w:type="spellEnd"/>
      <w:r w:rsidRPr="00F658E7">
        <w:rPr>
          <w:rFonts w:ascii="Calibri" w:hAnsi="Calibri" w:cs="Calibri"/>
          <w:color w:val="auto"/>
          <w:sz w:val="22"/>
          <w:szCs w:val="22"/>
        </w:rPr>
        <w:t xml:space="preserve"> </w:t>
      </w:r>
      <w:r w:rsidR="00C21708">
        <w:rPr>
          <w:rFonts w:ascii="Calibri" w:hAnsi="Calibri" w:cs="Calibri"/>
          <w:color w:val="auto"/>
          <w:sz w:val="22"/>
          <w:szCs w:val="22"/>
        </w:rPr>
        <w:t>programme</w:t>
      </w:r>
      <w:r w:rsidRPr="00F658E7">
        <w:rPr>
          <w:rFonts w:ascii="Calibri" w:hAnsi="Calibri" w:cs="Calibri"/>
          <w:color w:val="auto"/>
          <w:sz w:val="22"/>
          <w:szCs w:val="22"/>
        </w:rPr>
        <w:t xml:space="preserve"> including enhancing the </w:t>
      </w:r>
      <w:r w:rsidR="00C21708">
        <w:rPr>
          <w:rFonts w:ascii="Calibri" w:hAnsi="Calibri" w:cs="Calibri"/>
          <w:color w:val="auto"/>
          <w:sz w:val="22"/>
          <w:szCs w:val="22"/>
        </w:rPr>
        <w:t>l</w:t>
      </w:r>
      <w:r w:rsidR="00C21708" w:rsidRPr="00F658E7">
        <w:rPr>
          <w:rFonts w:ascii="Calibri" w:hAnsi="Calibri" w:cs="Calibri"/>
          <w:color w:val="auto"/>
          <w:sz w:val="22"/>
          <w:szCs w:val="22"/>
        </w:rPr>
        <w:t xml:space="preserve">earner </w:t>
      </w:r>
      <w:r w:rsidR="00C21708">
        <w:rPr>
          <w:rFonts w:ascii="Calibri" w:hAnsi="Calibri" w:cs="Calibri"/>
          <w:color w:val="auto"/>
          <w:sz w:val="22"/>
          <w:szCs w:val="22"/>
        </w:rPr>
        <w:t>s</w:t>
      </w:r>
      <w:r w:rsidR="00C21708" w:rsidRPr="00F658E7">
        <w:rPr>
          <w:rFonts w:ascii="Calibri" w:hAnsi="Calibri" w:cs="Calibri"/>
          <w:color w:val="auto"/>
          <w:sz w:val="22"/>
          <w:szCs w:val="22"/>
        </w:rPr>
        <w:t xml:space="preserve">uccess </w:t>
      </w:r>
      <w:r w:rsidR="00C21708">
        <w:rPr>
          <w:rFonts w:ascii="Calibri" w:hAnsi="Calibri" w:cs="Calibri"/>
          <w:color w:val="auto"/>
          <w:sz w:val="22"/>
          <w:szCs w:val="22"/>
        </w:rPr>
        <w:t>d</w:t>
      </w:r>
      <w:r w:rsidR="00C21708" w:rsidRPr="00F658E7">
        <w:rPr>
          <w:rFonts w:ascii="Calibri" w:hAnsi="Calibri" w:cs="Calibri"/>
          <w:color w:val="auto"/>
          <w:sz w:val="22"/>
          <w:szCs w:val="22"/>
        </w:rPr>
        <w:t xml:space="preserve">ashboard </w:t>
      </w:r>
      <w:r w:rsidRPr="00F658E7">
        <w:rPr>
          <w:rFonts w:ascii="Calibri" w:hAnsi="Calibri" w:cs="Calibri"/>
          <w:color w:val="auto"/>
          <w:sz w:val="22"/>
          <w:szCs w:val="22"/>
        </w:rPr>
        <w:t xml:space="preserve">functionality and strengthening the </w:t>
      </w:r>
      <w:r w:rsidR="00C21708">
        <w:rPr>
          <w:rFonts w:ascii="Calibri" w:hAnsi="Calibri" w:cs="Calibri"/>
          <w:color w:val="auto"/>
          <w:sz w:val="22"/>
          <w:szCs w:val="22"/>
        </w:rPr>
        <w:t>s</w:t>
      </w:r>
      <w:r w:rsidR="00C21708" w:rsidRPr="00F658E7">
        <w:rPr>
          <w:rFonts w:ascii="Calibri" w:hAnsi="Calibri" w:cs="Calibri"/>
          <w:color w:val="auto"/>
          <w:sz w:val="22"/>
          <w:szCs w:val="22"/>
        </w:rPr>
        <w:t xml:space="preserve">tudy </w:t>
      </w:r>
      <w:r w:rsidR="00C21708">
        <w:rPr>
          <w:rFonts w:ascii="Calibri" w:hAnsi="Calibri" w:cs="Calibri"/>
          <w:color w:val="auto"/>
          <w:sz w:val="22"/>
          <w:szCs w:val="22"/>
        </w:rPr>
        <w:t>a</w:t>
      </w:r>
      <w:r w:rsidR="00C21708" w:rsidRPr="00F658E7">
        <w:rPr>
          <w:rFonts w:ascii="Calibri" w:hAnsi="Calibri" w:cs="Calibri"/>
          <w:color w:val="auto"/>
          <w:sz w:val="22"/>
          <w:szCs w:val="22"/>
        </w:rPr>
        <w:t xml:space="preserve">dvising </w:t>
      </w:r>
      <w:r w:rsidR="00C21708">
        <w:rPr>
          <w:rFonts w:ascii="Calibri" w:hAnsi="Calibri" w:cs="Calibri"/>
          <w:color w:val="auto"/>
          <w:sz w:val="22"/>
          <w:szCs w:val="22"/>
        </w:rPr>
        <w:t>p</w:t>
      </w:r>
      <w:r w:rsidR="00C21708" w:rsidRPr="00F658E7">
        <w:rPr>
          <w:rFonts w:ascii="Calibri" w:hAnsi="Calibri" w:cs="Calibri"/>
          <w:color w:val="auto"/>
          <w:sz w:val="22"/>
          <w:szCs w:val="22"/>
        </w:rPr>
        <w:t xml:space="preserve">rogramme </w:t>
      </w:r>
      <w:r w:rsidRPr="00F658E7">
        <w:rPr>
          <w:rFonts w:ascii="Calibri" w:hAnsi="Calibri" w:cs="Calibri"/>
          <w:color w:val="auto"/>
          <w:sz w:val="22"/>
          <w:szCs w:val="22"/>
        </w:rPr>
        <w:t>with a view to providing disabled students full and equal access and inclusion to all teaching and learning</w:t>
      </w:r>
    </w:p>
    <w:p w14:paraId="16612FFF" w14:textId="4E58F4CC" w:rsidR="000914A4" w:rsidRPr="00F658E7" w:rsidRDefault="000914A4" w:rsidP="0012782C">
      <w:pPr>
        <w:pStyle w:val="Default"/>
        <w:numPr>
          <w:ilvl w:val="0"/>
          <w:numId w:val="8"/>
        </w:numPr>
        <w:rPr>
          <w:rFonts w:ascii="Calibri" w:hAnsi="Calibri" w:cs="Calibri"/>
          <w:color w:val="auto"/>
          <w:sz w:val="22"/>
          <w:szCs w:val="22"/>
        </w:rPr>
      </w:pPr>
      <w:r w:rsidRPr="00F658E7">
        <w:rPr>
          <w:rFonts w:ascii="Calibri" w:hAnsi="Calibri" w:cs="Calibri"/>
          <w:color w:val="auto"/>
          <w:sz w:val="22"/>
          <w:szCs w:val="22"/>
        </w:rPr>
        <w:t xml:space="preserve">Actively pursue internal and external funding opportunities </w:t>
      </w:r>
      <w:r w:rsidR="00344A7A" w:rsidRPr="00F658E7">
        <w:rPr>
          <w:rFonts w:ascii="Calibri" w:hAnsi="Calibri" w:cs="Calibri"/>
          <w:color w:val="auto"/>
          <w:sz w:val="22"/>
          <w:szCs w:val="22"/>
        </w:rPr>
        <w:t xml:space="preserve">for co-research with disabled students and teaching </w:t>
      </w:r>
      <w:r w:rsidR="00D910F0" w:rsidRPr="00665B84">
        <w:rPr>
          <w:rFonts w:ascii="Calibri" w:hAnsi="Calibri" w:cs="Calibri"/>
          <w:color w:val="auto"/>
          <w:sz w:val="22"/>
          <w:szCs w:val="22"/>
        </w:rPr>
        <w:t>staff to</w:t>
      </w:r>
      <w:r w:rsidRPr="00F658E7">
        <w:rPr>
          <w:rFonts w:ascii="Calibri" w:hAnsi="Calibri" w:cs="Calibri"/>
          <w:color w:val="auto"/>
          <w:sz w:val="22"/>
          <w:szCs w:val="22"/>
        </w:rPr>
        <w:t xml:space="preserve"> furthe</w:t>
      </w:r>
      <w:r w:rsidR="00344A7A" w:rsidRPr="00F658E7">
        <w:rPr>
          <w:rFonts w:ascii="Calibri" w:hAnsi="Calibri" w:cs="Calibri"/>
          <w:color w:val="auto"/>
          <w:sz w:val="22"/>
          <w:szCs w:val="22"/>
        </w:rPr>
        <w:t>r</w:t>
      </w:r>
      <w:r w:rsidRPr="00F658E7">
        <w:rPr>
          <w:rFonts w:ascii="Calibri" w:hAnsi="Calibri" w:cs="Calibri"/>
          <w:color w:val="auto"/>
          <w:sz w:val="22"/>
          <w:szCs w:val="22"/>
        </w:rPr>
        <w:t xml:space="preserve"> opportunities for disabled learners</w:t>
      </w:r>
      <w:r w:rsidR="00BB329C" w:rsidRPr="00F658E7">
        <w:rPr>
          <w:rFonts w:ascii="Calibri" w:hAnsi="Calibri" w:cs="Calibri"/>
          <w:color w:val="auto"/>
          <w:sz w:val="22"/>
          <w:szCs w:val="22"/>
        </w:rPr>
        <w:t>.</w:t>
      </w:r>
    </w:p>
    <w:p w14:paraId="1FA42E49" w14:textId="2AA2C4FA" w:rsidR="00E93A1F" w:rsidRPr="00F658E7" w:rsidRDefault="00E93A1F" w:rsidP="0012782C">
      <w:pPr>
        <w:pStyle w:val="Default"/>
        <w:numPr>
          <w:ilvl w:val="0"/>
          <w:numId w:val="8"/>
        </w:numPr>
        <w:rPr>
          <w:rFonts w:ascii="Calibri" w:hAnsi="Calibri" w:cs="Calibri"/>
          <w:color w:val="auto"/>
          <w:sz w:val="22"/>
          <w:szCs w:val="22"/>
        </w:rPr>
      </w:pPr>
      <w:r w:rsidRPr="00F658E7">
        <w:rPr>
          <w:rFonts w:ascii="Calibri" w:hAnsi="Calibri" w:cs="Calibri"/>
          <w:color w:val="auto"/>
          <w:sz w:val="22"/>
          <w:szCs w:val="22"/>
        </w:rPr>
        <w:t>Complete an exploratory project determining the equitable status and opportunities for disabled students in work-integrated learning practice across the University of Waikato</w:t>
      </w:r>
    </w:p>
    <w:p w14:paraId="297B176A" w14:textId="45B418CA" w:rsidR="000914A4" w:rsidRPr="00F658E7" w:rsidRDefault="000914A4" w:rsidP="0012782C">
      <w:pPr>
        <w:pStyle w:val="Default"/>
        <w:numPr>
          <w:ilvl w:val="0"/>
          <w:numId w:val="8"/>
        </w:numPr>
        <w:rPr>
          <w:rFonts w:ascii="Calibri" w:hAnsi="Calibri" w:cs="Calibri"/>
          <w:color w:val="auto"/>
          <w:sz w:val="22"/>
          <w:szCs w:val="22"/>
        </w:rPr>
      </w:pPr>
      <w:r w:rsidRPr="00F658E7">
        <w:rPr>
          <w:rFonts w:ascii="Calibri" w:hAnsi="Calibri" w:cs="Calibri"/>
          <w:color w:val="auto"/>
          <w:sz w:val="22"/>
          <w:szCs w:val="22"/>
        </w:rPr>
        <w:t>Increase efforts around disabled academic staff recruitment and retention with a view to fostering an academic workforce that comprises disabled academics broadly in keeping with the proportion of disabled student body</w:t>
      </w:r>
    </w:p>
    <w:p w14:paraId="5071E144" w14:textId="77777777" w:rsidR="000914A4" w:rsidRPr="00F658E7" w:rsidRDefault="000914A4" w:rsidP="0012782C">
      <w:pPr>
        <w:pStyle w:val="Default"/>
        <w:rPr>
          <w:rFonts w:ascii="Calibri" w:hAnsi="Calibri" w:cs="Calibri"/>
          <w:b/>
          <w:bCs/>
          <w:color w:val="auto"/>
          <w:sz w:val="22"/>
          <w:szCs w:val="22"/>
        </w:rPr>
      </w:pPr>
    </w:p>
    <w:p w14:paraId="56868324" w14:textId="263192CA" w:rsidR="00832CA7" w:rsidRPr="00F658E7" w:rsidRDefault="00E818AB" w:rsidP="0012782C">
      <w:pPr>
        <w:pStyle w:val="Heading2"/>
        <w:spacing w:line="240" w:lineRule="auto"/>
        <w:rPr>
          <w:color w:val="auto"/>
        </w:rPr>
      </w:pPr>
      <w:bookmarkStart w:id="31" w:name="_Toc120609573"/>
      <w:r w:rsidRPr="00F658E7">
        <w:rPr>
          <w:color w:val="auto"/>
        </w:rPr>
        <w:t xml:space="preserve">OBJECTIVE </w:t>
      </w:r>
      <w:r w:rsidR="000914A4" w:rsidRPr="00F658E7">
        <w:rPr>
          <w:color w:val="auto"/>
        </w:rPr>
        <w:t>4</w:t>
      </w:r>
      <w:r w:rsidR="00D56F26" w:rsidRPr="00F658E7">
        <w:rPr>
          <w:color w:val="auto"/>
        </w:rPr>
        <w:t>:</w:t>
      </w:r>
      <w:r w:rsidRPr="00F658E7">
        <w:rPr>
          <w:color w:val="auto"/>
        </w:rPr>
        <w:t xml:space="preserve"> </w:t>
      </w:r>
      <w:r w:rsidR="005C1C5A" w:rsidRPr="00F658E7">
        <w:rPr>
          <w:color w:val="auto"/>
        </w:rPr>
        <w:t xml:space="preserve"> </w:t>
      </w:r>
      <w:r w:rsidR="0028039B" w:rsidRPr="00F658E7">
        <w:rPr>
          <w:color w:val="auto"/>
        </w:rPr>
        <w:t>INCREASE</w:t>
      </w:r>
      <w:r w:rsidR="000914A4" w:rsidRPr="00F658E7">
        <w:rPr>
          <w:color w:val="auto"/>
        </w:rPr>
        <w:t xml:space="preserve"> LEARNER ENGAGEMENT IN </w:t>
      </w:r>
      <w:r w:rsidR="002A3E09" w:rsidRPr="00F658E7">
        <w:rPr>
          <w:color w:val="auto"/>
        </w:rPr>
        <w:t>UNIVERSITY</w:t>
      </w:r>
      <w:r w:rsidR="000914A4" w:rsidRPr="00F658E7">
        <w:rPr>
          <w:color w:val="auto"/>
        </w:rPr>
        <w:t xml:space="preserve"> LIFE</w:t>
      </w:r>
      <w:bookmarkEnd w:id="31"/>
      <w:r w:rsidR="000914A4" w:rsidRPr="00F658E7">
        <w:rPr>
          <w:color w:val="auto"/>
        </w:rPr>
        <w:t xml:space="preserve"> </w:t>
      </w:r>
      <w:r w:rsidR="00293F66" w:rsidRPr="00F658E7">
        <w:rPr>
          <w:color w:val="auto"/>
        </w:rPr>
        <w:t xml:space="preserve"> </w:t>
      </w:r>
    </w:p>
    <w:p w14:paraId="3CB2CD60" w14:textId="54F1FB9A" w:rsidR="002A3E09" w:rsidRPr="00F658E7" w:rsidRDefault="003C198A" w:rsidP="0012782C">
      <w:pPr>
        <w:pStyle w:val="Default"/>
        <w:rPr>
          <w:rFonts w:ascii="Calibri" w:hAnsi="Calibri" w:cs="Calibri"/>
          <w:color w:val="auto"/>
          <w:sz w:val="22"/>
          <w:szCs w:val="22"/>
          <w:shd w:val="clear" w:color="auto" w:fill="FFFFFF"/>
        </w:rPr>
      </w:pPr>
      <w:r w:rsidRPr="00F658E7">
        <w:rPr>
          <w:rFonts w:ascii="Calibri" w:hAnsi="Calibri" w:cs="Calibri"/>
          <w:color w:val="auto"/>
          <w:sz w:val="22"/>
          <w:szCs w:val="22"/>
          <w:shd w:val="clear" w:color="auto" w:fill="FFFFFF"/>
        </w:rPr>
        <w:t>In order for disabled students to engage fully in university life</w:t>
      </w:r>
      <w:r w:rsidR="002A3E09" w:rsidRPr="00F658E7">
        <w:rPr>
          <w:rFonts w:ascii="Calibri" w:hAnsi="Calibri" w:cs="Calibri"/>
          <w:color w:val="auto"/>
          <w:sz w:val="22"/>
          <w:szCs w:val="22"/>
          <w:shd w:val="clear" w:color="auto" w:fill="FFFFFF"/>
        </w:rPr>
        <w:t xml:space="preserve"> (on campus and off campus)</w:t>
      </w:r>
      <w:r w:rsidRPr="00F658E7">
        <w:rPr>
          <w:rFonts w:ascii="Calibri" w:hAnsi="Calibri" w:cs="Calibri"/>
          <w:color w:val="auto"/>
          <w:sz w:val="22"/>
          <w:szCs w:val="22"/>
          <w:shd w:val="clear" w:color="auto" w:fill="FFFFFF"/>
        </w:rPr>
        <w:t xml:space="preserve">, </w:t>
      </w:r>
      <w:r w:rsidR="002C7FDA">
        <w:rPr>
          <w:rFonts w:ascii="Calibri" w:hAnsi="Calibri" w:cs="Calibri"/>
          <w:color w:val="auto"/>
          <w:sz w:val="22"/>
          <w:szCs w:val="22"/>
          <w:shd w:val="clear" w:color="auto" w:fill="FFFFFF"/>
        </w:rPr>
        <w:t>U</w:t>
      </w:r>
      <w:r w:rsidRPr="00F658E7">
        <w:rPr>
          <w:rFonts w:ascii="Calibri" w:hAnsi="Calibri" w:cs="Calibri"/>
          <w:color w:val="auto"/>
          <w:sz w:val="22"/>
          <w:szCs w:val="22"/>
          <w:shd w:val="clear" w:color="auto" w:fill="FFFFFF"/>
        </w:rPr>
        <w:t xml:space="preserve">niversities need to be safe places that are inclusive and free from discrimination of any kind. To progress this in 2021 the National Disabled Students’ Association (NDSA) - a non-partisan national body that represents disabled students in universities, polytechnics and other tertiary education providers – was launched. </w:t>
      </w:r>
    </w:p>
    <w:p w14:paraId="18D6F702" w14:textId="77777777" w:rsidR="002A3E09" w:rsidRPr="00F658E7" w:rsidRDefault="002A3E09" w:rsidP="0012782C">
      <w:pPr>
        <w:pStyle w:val="Default"/>
        <w:rPr>
          <w:rFonts w:ascii="Calibri" w:hAnsi="Calibri" w:cs="Calibri"/>
          <w:color w:val="auto"/>
          <w:sz w:val="22"/>
          <w:szCs w:val="22"/>
          <w:shd w:val="clear" w:color="auto" w:fill="FFFFFF"/>
        </w:rPr>
      </w:pPr>
    </w:p>
    <w:p w14:paraId="5EE9EA46" w14:textId="53796CE0" w:rsidR="00F63562" w:rsidRPr="00F658E7" w:rsidRDefault="003C198A" w:rsidP="0012782C">
      <w:pPr>
        <w:pStyle w:val="Default"/>
        <w:rPr>
          <w:rFonts w:ascii="Calibri" w:hAnsi="Calibri" w:cs="Calibri"/>
          <w:color w:val="auto"/>
          <w:sz w:val="22"/>
          <w:szCs w:val="22"/>
        </w:rPr>
      </w:pPr>
      <w:r w:rsidRPr="00F658E7">
        <w:rPr>
          <w:rFonts w:ascii="Calibri" w:hAnsi="Calibri" w:cs="Calibri"/>
          <w:color w:val="auto"/>
          <w:sz w:val="22"/>
          <w:szCs w:val="22"/>
          <w:shd w:val="clear" w:color="auto" w:fill="FFFFFF"/>
        </w:rPr>
        <w:t xml:space="preserve">In addition to this new national association, many institutions including the University of Waikato, also have their own associations or networks. </w:t>
      </w:r>
      <w:r w:rsidR="00963236" w:rsidRPr="00F658E7">
        <w:rPr>
          <w:rFonts w:ascii="Calibri" w:hAnsi="Calibri" w:cs="Calibri"/>
          <w:color w:val="auto"/>
          <w:sz w:val="22"/>
          <w:szCs w:val="22"/>
          <w:shd w:val="clear" w:color="auto" w:fill="FFFFFF"/>
        </w:rPr>
        <w:t>At the University of Waikato this is the Waikato Disabled Students’ Association</w:t>
      </w:r>
      <w:r w:rsidR="001B2BC2" w:rsidRPr="00F658E7">
        <w:rPr>
          <w:rFonts w:ascii="Calibri" w:hAnsi="Calibri" w:cs="Calibri"/>
          <w:color w:val="auto"/>
          <w:sz w:val="22"/>
          <w:szCs w:val="22"/>
          <w:shd w:val="clear" w:color="auto" w:fill="FFFFFF"/>
        </w:rPr>
        <w:t xml:space="preserve"> (WDSA)</w:t>
      </w:r>
      <w:r w:rsidR="00963236" w:rsidRPr="00F658E7">
        <w:rPr>
          <w:rFonts w:ascii="Calibri" w:hAnsi="Calibri" w:cs="Calibri"/>
          <w:color w:val="auto"/>
          <w:sz w:val="22"/>
          <w:szCs w:val="22"/>
          <w:shd w:val="clear" w:color="auto" w:fill="FFFFFF"/>
        </w:rPr>
        <w:t xml:space="preserve">. </w:t>
      </w:r>
      <w:r w:rsidRPr="00F658E7">
        <w:rPr>
          <w:rFonts w:ascii="Calibri" w:hAnsi="Calibri" w:cs="Calibri"/>
          <w:color w:val="auto"/>
          <w:sz w:val="22"/>
          <w:szCs w:val="22"/>
          <w:shd w:val="clear" w:color="auto" w:fill="FFFFFF"/>
        </w:rPr>
        <w:t>These organisations are invaluable</w:t>
      </w:r>
      <w:r w:rsidR="00BB329C" w:rsidRPr="00F658E7">
        <w:rPr>
          <w:rFonts w:ascii="Calibri" w:hAnsi="Calibri" w:cs="Calibri"/>
          <w:color w:val="auto"/>
          <w:sz w:val="22"/>
          <w:szCs w:val="22"/>
          <w:shd w:val="clear" w:color="auto" w:fill="FFFFFF"/>
        </w:rPr>
        <w:t>,</w:t>
      </w:r>
      <w:r w:rsidRPr="00F658E7">
        <w:rPr>
          <w:rFonts w:ascii="Calibri" w:hAnsi="Calibri" w:cs="Calibri"/>
          <w:color w:val="auto"/>
          <w:sz w:val="22"/>
          <w:szCs w:val="22"/>
          <w:shd w:val="clear" w:color="auto" w:fill="FFFFFF"/>
        </w:rPr>
        <w:t xml:space="preserve"> and the University needs to work in partnership with students to ensure they grow from strength to strength. It is vital that the University puts disabled students and their </w:t>
      </w:r>
      <w:proofErr w:type="spellStart"/>
      <w:r w:rsidRPr="00F658E7">
        <w:rPr>
          <w:rFonts w:ascii="Calibri" w:hAnsi="Calibri" w:cs="Calibri"/>
          <w:color w:val="auto"/>
          <w:sz w:val="22"/>
          <w:szCs w:val="22"/>
          <w:shd w:val="clear" w:color="auto" w:fill="FFFFFF"/>
        </w:rPr>
        <w:t>whānau</w:t>
      </w:r>
      <w:proofErr w:type="spellEnd"/>
      <w:r w:rsidRPr="00F658E7">
        <w:rPr>
          <w:rFonts w:ascii="Calibri" w:hAnsi="Calibri" w:cs="Calibri"/>
          <w:color w:val="auto"/>
          <w:sz w:val="22"/>
          <w:szCs w:val="22"/>
          <w:shd w:val="clear" w:color="auto" w:fill="FFFFFF"/>
        </w:rPr>
        <w:t xml:space="preserve"> at the centre of education and this engagement with NDSA and </w:t>
      </w:r>
      <w:r w:rsidR="002C7FDA">
        <w:rPr>
          <w:rFonts w:ascii="Calibri" w:hAnsi="Calibri" w:cs="Calibri"/>
          <w:color w:val="auto"/>
          <w:sz w:val="22"/>
          <w:szCs w:val="22"/>
          <w:shd w:val="clear" w:color="auto" w:fill="FFFFFF"/>
        </w:rPr>
        <w:t>W</w:t>
      </w:r>
      <w:r w:rsidR="00963236" w:rsidRPr="00F658E7">
        <w:rPr>
          <w:rFonts w:ascii="Calibri" w:hAnsi="Calibri" w:cs="Calibri"/>
          <w:color w:val="auto"/>
          <w:sz w:val="22"/>
          <w:szCs w:val="22"/>
          <w:shd w:val="clear" w:color="auto" w:fill="FFFFFF"/>
        </w:rPr>
        <w:t>DSA i</w:t>
      </w:r>
      <w:r w:rsidR="00BB329C" w:rsidRPr="00F658E7">
        <w:rPr>
          <w:rFonts w:ascii="Calibri" w:hAnsi="Calibri" w:cs="Calibri"/>
          <w:color w:val="auto"/>
          <w:sz w:val="22"/>
          <w:szCs w:val="22"/>
          <w:shd w:val="clear" w:color="auto" w:fill="FFFFFF"/>
        </w:rPr>
        <w:t>s</w:t>
      </w:r>
      <w:r w:rsidR="00963236" w:rsidRPr="00F658E7">
        <w:rPr>
          <w:rFonts w:ascii="Calibri" w:hAnsi="Calibri" w:cs="Calibri"/>
          <w:color w:val="auto"/>
          <w:sz w:val="22"/>
          <w:szCs w:val="22"/>
          <w:shd w:val="clear" w:color="auto" w:fill="FFFFFF"/>
        </w:rPr>
        <w:t xml:space="preserve"> one way to help achieve this.</w:t>
      </w:r>
    </w:p>
    <w:p w14:paraId="0A6D3C94" w14:textId="77777777" w:rsidR="00CF64C3" w:rsidRPr="00F658E7" w:rsidRDefault="00CF64C3" w:rsidP="0012782C">
      <w:pPr>
        <w:pStyle w:val="Default"/>
        <w:rPr>
          <w:rFonts w:ascii="Calibri" w:hAnsi="Calibri" w:cs="Calibri"/>
          <w:b/>
          <w:bCs/>
          <w:color w:val="auto"/>
          <w:sz w:val="22"/>
          <w:szCs w:val="22"/>
        </w:rPr>
      </w:pPr>
    </w:p>
    <w:p w14:paraId="46071F94" w14:textId="7E9D3842" w:rsidR="00F322DE" w:rsidRPr="00F658E7" w:rsidRDefault="00F322DE" w:rsidP="0012782C">
      <w:pPr>
        <w:pStyle w:val="Heading3"/>
        <w:spacing w:line="240" w:lineRule="auto"/>
        <w:rPr>
          <w:color w:val="auto"/>
        </w:rPr>
      </w:pPr>
      <w:bookmarkStart w:id="32" w:name="_Toc120609574"/>
      <w:r w:rsidRPr="00F658E7">
        <w:rPr>
          <w:color w:val="auto"/>
        </w:rPr>
        <w:t xml:space="preserve">What will the University do to achieve this </w:t>
      </w:r>
      <w:r w:rsidR="007E6C8D">
        <w:rPr>
          <w:color w:val="auto"/>
        </w:rPr>
        <w:t>O</w:t>
      </w:r>
      <w:r w:rsidRPr="00F658E7">
        <w:rPr>
          <w:color w:val="auto"/>
        </w:rPr>
        <w:t>bjective?</w:t>
      </w:r>
      <w:bookmarkEnd w:id="32"/>
    </w:p>
    <w:p w14:paraId="0A81358B" w14:textId="4679434D" w:rsidR="00F322DE" w:rsidRPr="00F658E7" w:rsidRDefault="00F322DE" w:rsidP="0012782C">
      <w:pPr>
        <w:pStyle w:val="Default"/>
        <w:numPr>
          <w:ilvl w:val="0"/>
          <w:numId w:val="13"/>
        </w:numPr>
        <w:rPr>
          <w:rFonts w:ascii="Calibri" w:hAnsi="Calibri" w:cs="Calibri"/>
          <w:color w:val="auto"/>
          <w:sz w:val="22"/>
          <w:szCs w:val="22"/>
        </w:rPr>
      </w:pPr>
      <w:r w:rsidRPr="00F658E7">
        <w:rPr>
          <w:rFonts w:ascii="Calibri" w:eastAsia="Palatino Linotype" w:hAnsi="Calibri" w:cs="Calibri"/>
          <w:color w:val="auto"/>
          <w:sz w:val="22"/>
          <w:szCs w:val="22"/>
        </w:rPr>
        <w:t xml:space="preserve">Provide professional development for staff </w:t>
      </w:r>
      <w:r w:rsidR="00344A7A" w:rsidRPr="00F658E7">
        <w:rPr>
          <w:rFonts w:ascii="Calibri" w:eastAsia="Palatino Linotype" w:hAnsi="Calibri" w:cs="Calibri"/>
          <w:color w:val="auto"/>
          <w:sz w:val="22"/>
          <w:szCs w:val="22"/>
        </w:rPr>
        <w:t xml:space="preserve">that is co-developed with and co-facilitated by disabled students and disability studies academics, </w:t>
      </w:r>
      <w:r w:rsidRPr="00F658E7">
        <w:rPr>
          <w:rFonts w:ascii="Calibri" w:eastAsia="Palatino Linotype" w:hAnsi="Calibri" w:cs="Calibri"/>
          <w:color w:val="auto"/>
          <w:sz w:val="22"/>
          <w:szCs w:val="22"/>
        </w:rPr>
        <w:t>on the prevalence of disability in education</w:t>
      </w:r>
      <w:r w:rsidR="00344A7A" w:rsidRPr="00F658E7">
        <w:rPr>
          <w:rFonts w:ascii="Calibri" w:eastAsia="Palatino Linotype" w:hAnsi="Calibri" w:cs="Calibri"/>
          <w:color w:val="auto"/>
          <w:sz w:val="22"/>
          <w:szCs w:val="22"/>
        </w:rPr>
        <w:t>, Universal Design for Learning principles and practices,</w:t>
      </w:r>
      <w:r w:rsidRPr="00F658E7">
        <w:rPr>
          <w:rFonts w:ascii="Calibri" w:eastAsia="Palatino Linotype" w:hAnsi="Calibri" w:cs="Calibri"/>
          <w:color w:val="auto"/>
          <w:sz w:val="22"/>
          <w:szCs w:val="22"/>
        </w:rPr>
        <w:t xml:space="preserve"> and how to </w:t>
      </w:r>
      <w:r w:rsidR="00344A7A" w:rsidRPr="00F658E7">
        <w:rPr>
          <w:rFonts w:ascii="Calibri" w:eastAsia="Palatino Linotype" w:hAnsi="Calibri" w:cs="Calibri"/>
          <w:color w:val="auto"/>
          <w:sz w:val="22"/>
          <w:szCs w:val="22"/>
        </w:rPr>
        <w:t xml:space="preserve">work with Accessibility Services to </w:t>
      </w:r>
      <w:r w:rsidRPr="00F658E7">
        <w:rPr>
          <w:rFonts w:ascii="Calibri" w:eastAsia="Palatino Linotype" w:hAnsi="Calibri" w:cs="Calibri"/>
          <w:color w:val="auto"/>
          <w:sz w:val="22"/>
          <w:szCs w:val="22"/>
        </w:rPr>
        <w:t xml:space="preserve">adequately support disabled </w:t>
      </w:r>
      <w:r w:rsidR="000914A4" w:rsidRPr="00F658E7">
        <w:rPr>
          <w:rFonts w:ascii="Calibri" w:eastAsia="Palatino Linotype" w:hAnsi="Calibri" w:cs="Calibri"/>
          <w:color w:val="auto"/>
          <w:sz w:val="22"/>
          <w:szCs w:val="22"/>
        </w:rPr>
        <w:t>learners</w:t>
      </w:r>
      <w:r w:rsidRPr="00F658E7">
        <w:rPr>
          <w:rFonts w:ascii="Calibri" w:eastAsia="Palatino Linotype" w:hAnsi="Calibri" w:cs="Calibri"/>
          <w:color w:val="auto"/>
          <w:sz w:val="22"/>
          <w:szCs w:val="22"/>
        </w:rPr>
        <w:t xml:space="preserve"> on campus and in courses</w:t>
      </w:r>
      <w:r w:rsidRPr="00F658E7">
        <w:rPr>
          <w:rFonts w:ascii="Calibri" w:hAnsi="Calibri" w:cs="Calibri"/>
          <w:color w:val="auto"/>
          <w:sz w:val="22"/>
          <w:szCs w:val="22"/>
        </w:rPr>
        <w:t xml:space="preserve"> and individual papers</w:t>
      </w:r>
      <w:r w:rsidR="00BB329C" w:rsidRPr="00F658E7">
        <w:rPr>
          <w:rFonts w:ascii="Calibri" w:hAnsi="Calibri" w:cs="Calibri"/>
          <w:color w:val="auto"/>
          <w:sz w:val="22"/>
          <w:szCs w:val="22"/>
        </w:rPr>
        <w:t>.</w:t>
      </w:r>
    </w:p>
    <w:p w14:paraId="2EF794FB" w14:textId="6D2ED643" w:rsidR="00F322DE" w:rsidRPr="00D910F0" w:rsidRDefault="00F322DE" w:rsidP="0012782C">
      <w:pPr>
        <w:pStyle w:val="ListParagraph"/>
        <w:numPr>
          <w:ilvl w:val="0"/>
          <w:numId w:val="12"/>
        </w:numPr>
        <w:spacing w:line="240" w:lineRule="auto"/>
        <w:rPr>
          <w:rFonts w:ascii="Calibri" w:eastAsia="Palatino Linotype" w:hAnsi="Calibri" w:cs="Calibri"/>
        </w:rPr>
      </w:pPr>
      <w:r w:rsidRPr="00665B84">
        <w:rPr>
          <w:rFonts w:ascii="Calibri" w:eastAsia="Palatino Linotype" w:hAnsi="Calibri" w:cs="Calibri"/>
        </w:rPr>
        <w:t xml:space="preserve">Promote </w:t>
      </w:r>
      <w:r w:rsidR="00933691">
        <w:rPr>
          <w:rFonts w:ascii="Calibri" w:eastAsia="Palatino Linotype" w:hAnsi="Calibri" w:cs="Calibri"/>
        </w:rPr>
        <w:t xml:space="preserve">both the National Disabled Students’ Association (NSDA) and </w:t>
      </w:r>
      <w:r w:rsidRPr="00665B84">
        <w:rPr>
          <w:rFonts w:ascii="Calibri" w:eastAsia="Palatino Linotype" w:hAnsi="Calibri" w:cs="Calibri"/>
        </w:rPr>
        <w:t xml:space="preserve">the </w:t>
      </w:r>
      <w:r w:rsidR="00933691">
        <w:rPr>
          <w:rFonts w:ascii="Calibri" w:eastAsia="Palatino Linotype" w:hAnsi="Calibri" w:cs="Calibri"/>
        </w:rPr>
        <w:t>Waikato Disabled Students’ Association (</w:t>
      </w:r>
      <w:r w:rsidR="001B2BC2" w:rsidRPr="00F22E21">
        <w:rPr>
          <w:rFonts w:ascii="Calibri" w:eastAsia="Palatino Linotype" w:hAnsi="Calibri" w:cs="Calibri"/>
        </w:rPr>
        <w:t>W</w:t>
      </w:r>
      <w:r w:rsidRPr="00F22E21">
        <w:rPr>
          <w:rFonts w:ascii="Calibri" w:eastAsia="Palatino Linotype" w:hAnsi="Calibri" w:cs="Calibri"/>
        </w:rPr>
        <w:t>DSA</w:t>
      </w:r>
      <w:r w:rsidR="00933691">
        <w:rPr>
          <w:rFonts w:ascii="Calibri" w:eastAsia="Palatino Linotype" w:hAnsi="Calibri" w:cs="Calibri"/>
        </w:rPr>
        <w:t>)</w:t>
      </w:r>
      <w:r w:rsidRPr="00F22E21">
        <w:rPr>
          <w:rFonts w:ascii="Calibri" w:eastAsia="Palatino Linotype" w:hAnsi="Calibri" w:cs="Calibri"/>
        </w:rPr>
        <w:t xml:space="preserve"> through </w:t>
      </w:r>
      <w:r w:rsidR="001B2BC2" w:rsidRPr="00F22E21">
        <w:rPr>
          <w:rFonts w:ascii="Calibri" w:eastAsia="Palatino Linotype" w:hAnsi="Calibri" w:cs="Calibri"/>
        </w:rPr>
        <w:t>Waikato Student Union (</w:t>
      </w:r>
      <w:r w:rsidRPr="00D910F0">
        <w:rPr>
          <w:rFonts w:ascii="Calibri" w:eastAsia="Palatino Linotype" w:hAnsi="Calibri" w:cs="Calibri"/>
        </w:rPr>
        <w:t>WSU</w:t>
      </w:r>
      <w:r w:rsidR="001B2BC2" w:rsidRPr="00D910F0">
        <w:rPr>
          <w:rFonts w:ascii="Calibri" w:eastAsia="Palatino Linotype" w:hAnsi="Calibri" w:cs="Calibri"/>
        </w:rPr>
        <w:t>)</w:t>
      </w:r>
      <w:r w:rsidRPr="00D910F0">
        <w:rPr>
          <w:rFonts w:ascii="Calibri" w:eastAsia="Palatino Linotype" w:hAnsi="Calibri" w:cs="Calibri"/>
        </w:rPr>
        <w:t xml:space="preserve"> – this needs to take place both on campus and in the broader student disabled community</w:t>
      </w:r>
      <w:r w:rsidR="00BB329C" w:rsidRPr="00D910F0">
        <w:rPr>
          <w:rFonts w:ascii="Calibri" w:eastAsia="Palatino Linotype" w:hAnsi="Calibri" w:cs="Calibri"/>
        </w:rPr>
        <w:t>.</w:t>
      </w:r>
    </w:p>
    <w:p w14:paraId="6B1B3FD1" w14:textId="317C447C" w:rsidR="00F322DE" w:rsidRPr="00D910F0" w:rsidRDefault="00F322DE" w:rsidP="0012782C">
      <w:pPr>
        <w:pStyle w:val="ListParagraph"/>
        <w:numPr>
          <w:ilvl w:val="0"/>
          <w:numId w:val="12"/>
        </w:numPr>
        <w:spacing w:line="240" w:lineRule="auto"/>
        <w:rPr>
          <w:rFonts w:ascii="Calibri" w:eastAsia="Palatino Linotype" w:hAnsi="Calibri" w:cs="Calibri"/>
        </w:rPr>
      </w:pPr>
      <w:r w:rsidRPr="00D910F0">
        <w:rPr>
          <w:rFonts w:ascii="Calibri" w:eastAsia="Palatino Linotype" w:hAnsi="Calibri" w:cs="Calibri"/>
        </w:rPr>
        <w:t xml:space="preserve">Seek ways to resource the </w:t>
      </w:r>
      <w:r w:rsidR="00933691">
        <w:rPr>
          <w:rFonts w:ascii="Calibri" w:eastAsia="Palatino Linotype" w:hAnsi="Calibri" w:cs="Calibri"/>
        </w:rPr>
        <w:t>WDSA</w:t>
      </w:r>
      <w:r w:rsidRPr="00D910F0">
        <w:rPr>
          <w:rFonts w:ascii="Calibri" w:eastAsia="Palatino Linotype" w:hAnsi="Calibri" w:cs="Calibri"/>
        </w:rPr>
        <w:t xml:space="preserve"> to develop and provide peer work, be a referral point and run support service</w:t>
      </w:r>
      <w:r w:rsidR="00BB329C" w:rsidRPr="00D910F0">
        <w:rPr>
          <w:rFonts w:ascii="Calibri" w:eastAsia="Palatino Linotype" w:hAnsi="Calibri" w:cs="Calibri"/>
        </w:rPr>
        <w:t>.</w:t>
      </w:r>
    </w:p>
    <w:p w14:paraId="0F6C1E94" w14:textId="460B873D" w:rsidR="00F322DE" w:rsidRPr="00D910F0" w:rsidRDefault="00F322DE" w:rsidP="0012782C">
      <w:pPr>
        <w:pStyle w:val="ListParagraph"/>
        <w:numPr>
          <w:ilvl w:val="0"/>
          <w:numId w:val="12"/>
        </w:numPr>
        <w:spacing w:before="240" w:after="240" w:line="240" w:lineRule="auto"/>
        <w:rPr>
          <w:rFonts w:ascii="Calibri" w:eastAsia="Palatino Linotype" w:hAnsi="Calibri" w:cs="Calibri"/>
        </w:rPr>
      </w:pPr>
      <w:r w:rsidRPr="00D910F0">
        <w:rPr>
          <w:rFonts w:ascii="Calibri" w:eastAsia="Palatino Linotype" w:hAnsi="Calibri" w:cs="Calibri"/>
        </w:rPr>
        <w:t xml:space="preserve">Grow ways to make disabled students more visible and connected to other </w:t>
      </w:r>
      <w:r w:rsidR="00344A7A" w:rsidRPr="00D910F0">
        <w:rPr>
          <w:rFonts w:ascii="Calibri" w:eastAsia="Palatino Linotype" w:hAnsi="Calibri" w:cs="Calibri"/>
        </w:rPr>
        <w:t xml:space="preserve">student and student diversity </w:t>
      </w:r>
      <w:r w:rsidRPr="00D910F0">
        <w:rPr>
          <w:rFonts w:ascii="Calibri" w:eastAsia="Palatino Linotype" w:hAnsi="Calibri" w:cs="Calibri"/>
        </w:rPr>
        <w:t>groups</w:t>
      </w:r>
      <w:r w:rsidR="00BB329C" w:rsidRPr="00D910F0">
        <w:rPr>
          <w:rFonts w:ascii="Calibri" w:eastAsia="Palatino Linotype" w:hAnsi="Calibri" w:cs="Calibri"/>
        </w:rPr>
        <w:t>.</w:t>
      </w:r>
    </w:p>
    <w:p w14:paraId="41DDCBBD" w14:textId="725A6B2A" w:rsidR="00F322DE" w:rsidRPr="00D910F0" w:rsidRDefault="00344A7A" w:rsidP="0012782C">
      <w:pPr>
        <w:pStyle w:val="ListParagraph"/>
        <w:numPr>
          <w:ilvl w:val="0"/>
          <w:numId w:val="12"/>
        </w:numPr>
        <w:spacing w:before="240" w:after="240" w:line="240" w:lineRule="auto"/>
        <w:rPr>
          <w:rFonts w:ascii="Calibri" w:eastAsia="Palatino Linotype" w:hAnsi="Calibri" w:cs="Calibri"/>
        </w:rPr>
      </w:pPr>
      <w:r w:rsidRPr="00D910F0">
        <w:rPr>
          <w:rFonts w:ascii="Calibri" w:eastAsia="Palatino Linotype" w:hAnsi="Calibri" w:cs="Calibri"/>
        </w:rPr>
        <w:t xml:space="preserve">Continue to build a relationship between the </w:t>
      </w:r>
      <w:r w:rsidR="00933691">
        <w:rPr>
          <w:rFonts w:ascii="Calibri" w:eastAsia="Palatino Linotype" w:hAnsi="Calibri" w:cs="Calibri"/>
        </w:rPr>
        <w:t>WDSA</w:t>
      </w:r>
      <w:r w:rsidR="00F322DE" w:rsidRPr="00D910F0">
        <w:rPr>
          <w:rFonts w:ascii="Calibri" w:eastAsia="Palatino Linotype" w:hAnsi="Calibri" w:cs="Calibri"/>
        </w:rPr>
        <w:t xml:space="preserve">, </w:t>
      </w:r>
      <w:proofErr w:type="spellStart"/>
      <w:r w:rsidR="00F322DE" w:rsidRPr="00D910F0">
        <w:rPr>
          <w:rFonts w:ascii="Calibri" w:hAnsi="Calibri" w:cs="Calibri"/>
          <w:shd w:val="clear" w:color="auto" w:fill="FFFFFF"/>
        </w:rPr>
        <w:t>Te</w:t>
      </w:r>
      <w:proofErr w:type="spellEnd"/>
      <w:r w:rsidR="00F322DE" w:rsidRPr="00D910F0">
        <w:rPr>
          <w:rFonts w:ascii="Calibri" w:hAnsi="Calibri" w:cs="Calibri"/>
          <w:shd w:val="clear" w:color="auto" w:fill="FFFFFF"/>
        </w:rPr>
        <w:t xml:space="preserve"> </w:t>
      </w:r>
      <w:proofErr w:type="spellStart"/>
      <w:r w:rsidR="00F322DE" w:rsidRPr="00D910F0">
        <w:rPr>
          <w:rFonts w:ascii="Calibri" w:hAnsi="Calibri" w:cs="Calibri"/>
          <w:shd w:val="clear" w:color="auto" w:fill="FFFFFF"/>
        </w:rPr>
        <w:t>Puna</w:t>
      </w:r>
      <w:proofErr w:type="spellEnd"/>
      <w:r w:rsidR="00F322DE" w:rsidRPr="00D910F0">
        <w:rPr>
          <w:rFonts w:ascii="Calibri" w:hAnsi="Calibri" w:cs="Calibri"/>
          <w:shd w:val="clear" w:color="auto" w:fill="FFFFFF"/>
        </w:rPr>
        <w:t xml:space="preserve"> </w:t>
      </w:r>
      <w:proofErr w:type="spellStart"/>
      <w:r w:rsidR="00F322DE" w:rsidRPr="00D910F0">
        <w:rPr>
          <w:rFonts w:ascii="Calibri" w:hAnsi="Calibri" w:cs="Calibri"/>
          <w:shd w:val="clear" w:color="auto" w:fill="FFFFFF"/>
        </w:rPr>
        <w:t>Ako</w:t>
      </w:r>
      <w:proofErr w:type="spellEnd"/>
      <w:r w:rsidR="00F322DE" w:rsidRPr="00D910F0">
        <w:rPr>
          <w:rFonts w:ascii="Calibri" w:hAnsi="Calibri" w:cs="Calibri"/>
          <w:shd w:val="clear" w:color="auto" w:fill="FFFFFF"/>
        </w:rPr>
        <w:t xml:space="preserve"> Centre for Tertiary Teaching and Learning </w:t>
      </w:r>
      <w:r w:rsidR="00F322DE" w:rsidRPr="00D910F0">
        <w:rPr>
          <w:rFonts w:ascii="Calibri" w:eastAsia="Palatino Linotype" w:hAnsi="Calibri" w:cs="Calibri"/>
        </w:rPr>
        <w:t>and Accessibility Services to ensure continued success</w:t>
      </w:r>
      <w:r w:rsidRPr="00D910F0">
        <w:rPr>
          <w:rFonts w:ascii="Calibri" w:eastAsia="Palatino Linotype" w:hAnsi="Calibri" w:cs="Calibri"/>
        </w:rPr>
        <w:t xml:space="preserve"> of disabled students</w:t>
      </w:r>
      <w:r w:rsidR="00F322DE" w:rsidRPr="00D910F0">
        <w:rPr>
          <w:rFonts w:ascii="Calibri" w:eastAsia="Palatino Linotype" w:hAnsi="Calibri" w:cs="Calibri"/>
        </w:rPr>
        <w:t xml:space="preserve"> and visibility</w:t>
      </w:r>
      <w:r w:rsidR="00BB329C" w:rsidRPr="00D910F0">
        <w:rPr>
          <w:rFonts w:ascii="Calibri" w:eastAsia="Palatino Linotype" w:hAnsi="Calibri" w:cs="Calibri"/>
        </w:rPr>
        <w:t>.</w:t>
      </w:r>
    </w:p>
    <w:p w14:paraId="6F5BC5C6" w14:textId="3D20C5FF" w:rsidR="006A0612" w:rsidRPr="00D910F0" w:rsidRDefault="00344A7A" w:rsidP="0012782C">
      <w:pPr>
        <w:pStyle w:val="ListParagraph"/>
        <w:numPr>
          <w:ilvl w:val="0"/>
          <w:numId w:val="12"/>
        </w:numPr>
        <w:spacing w:line="240" w:lineRule="auto"/>
        <w:rPr>
          <w:rFonts w:ascii="Calibri" w:eastAsia="Palatino Linotype" w:hAnsi="Calibri" w:cs="Calibri"/>
        </w:rPr>
      </w:pPr>
      <w:r w:rsidRPr="00D910F0">
        <w:rPr>
          <w:rFonts w:ascii="Calibri" w:eastAsia="Palatino Linotype" w:hAnsi="Calibri" w:cs="Calibri"/>
        </w:rPr>
        <w:t>Build capacity and opportunity for d</w:t>
      </w:r>
      <w:r w:rsidR="00F322DE" w:rsidRPr="00D910F0">
        <w:rPr>
          <w:rFonts w:ascii="Calibri" w:eastAsia="Palatino Linotype" w:hAnsi="Calibri" w:cs="Calibri"/>
        </w:rPr>
        <w:t>isabled students</w:t>
      </w:r>
      <w:r w:rsidRPr="00D910F0">
        <w:rPr>
          <w:rFonts w:ascii="Calibri" w:eastAsia="Palatino Linotype" w:hAnsi="Calibri" w:cs="Calibri"/>
        </w:rPr>
        <w:t>’</w:t>
      </w:r>
      <w:r w:rsidR="00F322DE" w:rsidRPr="00D910F0">
        <w:rPr>
          <w:rFonts w:ascii="Calibri" w:eastAsia="Palatino Linotype" w:hAnsi="Calibri" w:cs="Calibri"/>
        </w:rPr>
        <w:t xml:space="preserve"> voice </w:t>
      </w:r>
      <w:r w:rsidRPr="00D910F0">
        <w:rPr>
          <w:rFonts w:ascii="Calibri" w:eastAsia="Palatino Linotype" w:hAnsi="Calibri" w:cs="Calibri"/>
        </w:rPr>
        <w:t xml:space="preserve">to be </w:t>
      </w:r>
      <w:r w:rsidR="00F322DE" w:rsidRPr="00D910F0">
        <w:rPr>
          <w:rFonts w:ascii="Calibri" w:eastAsia="Palatino Linotype" w:hAnsi="Calibri" w:cs="Calibri"/>
        </w:rPr>
        <w:t>heard through WSU - starting with a seat on the WSU student board</w:t>
      </w:r>
      <w:r w:rsidR="00BB329C" w:rsidRPr="00D910F0">
        <w:rPr>
          <w:rFonts w:ascii="Calibri" w:eastAsia="Palatino Linotype" w:hAnsi="Calibri" w:cs="Calibri"/>
        </w:rPr>
        <w:t>.</w:t>
      </w:r>
    </w:p>
    <w:p w14:paraId="4DAA6151" w14:textId="607A4AA2" w:rsidR="00832CA7" w:rsidRPr="00F658E7" w:rsidRDefault="00E818AB" w:rsidP="0012782C">
      <w:pPr>
        <w:pStyle w:val="Heading2"/>
        <w:spacing w:line="240" w:lineRule="auto"/>
        <w:rPr>
          <w:color w:val="auto"/>
        </w:rPr>
      </w:pPr>
      <w:bookmarkStart w:id="33" w:name="_Toc120609575"/>
      <w:r w:rsidRPr="00F658E7">
        <w:rPr>
          <w:color w:val="auto"/>
        </w:rPr>
        <w:t xml:space="preserve">OBJECTIVE </w:t>
      </w:r>
      <w:r w:rsidR="000914A4" w:rsidRPr="00F658E7">
        <w:rPr>
          <w:color w:val="auto"/>
        </w:rPr>
        <w:t>5</w:t>
      </w:r>
      <w:r w:rsidR="00D56F26" w:rsidRPr="00F658E7">
        <w:rPr>
          <w:color w:val="auto"/>
        </w:rPr>
        <w:t>:</w:t>
      </w:r>
      <w:r w:rsidRPr="00F658E7">
        <w:rPr>
          <w:color w:val="auto"/>
        </w:rPr>
        <w:t xml:space="preserve"> </w:t>
      </w:r>
      <w:r w:rsidR="00832CA7" w:rsidRPr="00F658E7">
        <w:rPr>
          <w:color w:val="auto"/>
        </w:rPr>
        <w:t xml:space="preserve"> </w:t>
      </w:r>
      <w:r w:rsidR="002A3E09" w:rsidRPr="00F658E7">
        <w:rPr>
          <w:color w:val="auto"/>
        </w:rPr>
        <w:t>PROGRESS WORK ON POLICIES THAT IMPACT DISABLED LEARNERS</w:t>
      </w:r>
      <w:bookmarkEnd w:id="33"/>
    </w:p>
    <w:p w14:paraId="0B62CB1B" w14:textId="3C5175D4" w:rsidR="00517BB9" w:rsidRPr="00F658E7" w:rsidRDefault="00293F66" w:rsidP="0012782C">
      <w:pPr>
        <w:pStyle w:val="Default"/>
        <w:tabs>
          <w:tab w:val="left" w:pos="8344"/>
        </w:tabs>
        <w:rPr>
          <w:rFonts w:asciiTheme="minorHAnsi" w:hAnsiTheme="minorHAnsi" w:cstheme="minorHAnsi"/>
          <w:color w:val="auto"/>
          <w:sz w:val="22"/>
          <w:szCs w:val="22"/>
        </w:rPr>
      </w:pPr>
      <w:r w:rsidRPr="00F658E7">
        <w:rPr>
          <w:rFonts w:ascii="Calibri" w:hAnsi="Calibri" w:cs="Calibri"/>
          <w:color w:val="auto"/>
          <w:sz w:val="22"/>
          <w:szCs w:val="22"/>
        </w:rPr>
        <w:t xml:space="preserve">The University needs to ensure that robust policies, plans and support are in place to support disabled learners to succeed. </w:t>
      </w:r>
      <w:r w:rsidR="00517BB9" w:rsidRPr="00F658E7">
        <w:rPr>
          <w:rFonts w:ascii="Calibri" w:hAnsi="Calibri" w:cs="Calibri"/>
          <w:color w:val="auto"/>
          <w:sz w:val="22"/>
          <w:szCs w:val="22"/>
        </w:rPr>
        <w:t xml:space="preserve">As stated in Section 1 ‘Context’, </w:t>
      </w:r>
      <w:r w:rsidR="00517BB9" w:rsidRPr="00F658E7">
        <w:rPr>
          <w:rFonts w:asciiTheme="minorHAnsi" w:hAnsiTheme="minorHAnsi" w:cstheme="minorHAnsi"/>
          <w:color w:val="auto"/>
          <w:sz w:val="22"/>
          <w:szCs w:val="22"/>
        </w:rPr>
        <w:t xml:space="preserve">the universities operate under the </w:t>
      </w:r>
      <w:r w:rsidR="00517BB9" w:rsidRPr="00F658E7">
        <w:rPr>
          <w:rFonts w:ascii="Calibri" w:hAnsi="Calibri" w:cstheme="minorHAnsi"/>
          <w:color w:val="auto"/>
          <w:sz w:val="22"/>
          <w:szCs w:val="22"/>
        </w:rPr>
        <w:t xml:space="preserve">Education and Training Act 2020 </w:t>
      </w:r>
      <w:r w:rsidR="00876C65" w:rsidRPr="00F658E7">
        <w:rPr>
          <w:rFonts w:ascii="Calibri" w:hAnsi="Calibri" w:cstheme="minorHAnsi"/>
          <w:color w:val="auto"/>
          <w:sz w:val="22"/>
          <w:szCs w:val="22"/>
        </w:rPr>
        <w:t>which aims to</w:t>
      </w:r>
      <w:r w:rsidR="00517BB9" w:rsidRPr="00F658E7">
        <w:rPr>
          <w:rFonts w:ascii="Calibri" w:hAnsi="Calibri" w:cstheme="minorHAnsi"/>
          <w:color w:val="auto"/>
          <w:sz w:val="22"/>
          <w:szCs w:val="22"/>
        </w:rPr>
        <w:t xml:space="preserve"> establish and regulat</w:t>
      </w:r>
      <w:r w:rsidR="00876C65" w:rsidRPr="00F658E7">
        <w:rPr>
          <w:rFonts w:ascii="Calibri" w:hAnsi="Calibri" w:cstheme="minorHAnsi"/>
          <w:color w:val="auto"/>
          <w:sz w:val="22"/>
          <w:szCs w:val="22"/>
        </w:rPr>
        <w:t xml:space="preserve">e an </w:t>
      </w:r>
      <w:r w:rsidR="00517BB9" w:rsidRPr="00F658E7">
        <w:rPr>
          <w:rFonts w:ascii="Calibri" w:hAnsi="Calibri" w:cstheme="minorHAnsi"/>
          <w:color w:val="auto"/>
          <w:sz w:val="22"/>
          <w:szCs w:val="22"/>
        </w:rPr>
        <w:t xml:space="preserve">education system that honours </w:t>
      </w:r>
      <w:proofErr w:type="spellStart"/>
      <w:r w:rsidR="00517BB9" w:rsidRPr="00F658E7">
        <w:rPr>
          <w:rFonts w:ascii="Calibri" w:hAnsi="Calibri" w:cstheme="minorHAnsi"/>
          <w:color w:val="auto"/>
          <w:sz w:val="22"/>
          <w:szCs w:val="22"/>
        </w:rPr>
        <w:t>Te</w:t>
      </w:r>
      <w:proofErr w:type="spellEnd"/>
      <w:r w:rsidR="00517BB9" w:rsidRPr="00F658E7">
        <w:rPr>
          <w:rFonts w:ascii="Calibri" w:hAnsi="Calibri" w:cstheme="minorHAnsi"/>
          <w:color w:val="auto"/>
          <w:sz w:val="22"/>
          <w:szCs w:val="22"/>
        </w:rPr>
        <w:t xml:space="preserve"> </w:t>
      </w:r>
      <w:proofErr w:type="spellStart"/>
      <w:r w:rsidR="00517BB9" w:rsidRPr="00F658E7">
        <w:rPr>
          <w:rFonts w:ascii="Calibri" w:hAnsi="Calibri" w:cstheme="minorHAnsi"/>
          <w:color w:val="auto"/>
          <w:sz w:val="22"/>
          <w:szCs w:val="22"/>
        </w:rPr>
        <w:t>Tiriti</w:t>
      </w:r>
      <w:proofErr w:type="spellEnd"/>
      <w:r w:rsidR="00517BB9" w:rsidRPr="00F658E7">
        <w:rPr>
          <w:rFonts w:ascii="Calibri" w:hAnsi="Calibri" w:cstheme="minorHAnsi"/>
          <w:color w:val="auto"/>
          <w:sz w:val="22"/>
          <w:szCs w:val="22"/>
        </w:rPr>
        <w:t xml:space="preserve"> o Waitangi and supports Māori-Crown </w:t>
      </w:r>
      <w:r w:rsidR="00517BB9" w:rsidRPr="00F658E7">
        <w:rPr>
          <w:rFonts w:ascii="Calibri" w:hAnsi="Calibri"/>
          <w:color w:val="auto"/>
          <w:sz w:val="22"/>
          <w:szCs w:val="22"/>
        </w:rPr>
        <w:t>relationships. </w:t>
      </w:r>
      <w:hyperlink r:id="rId19" w:history="1">
        <w:r w:rsidR="00876C65" w:rsidRPr="00F658E7">
          <w:rPr>
            <w:rStyle w:val="Hyperlink"/>
            <w:rFonts w:ascii="Calibri" w:hAnsi="Calibri"/>
            <w:color w:val="auto"/>
            <w:sz w:val="22"/>
            <w:szCs w:val="22"/>
          </w:rPr>
          <w:t>The University of Waikato’s Treat</w:t>
        </w:r>
        <w:r w:rsidR="00344A7A" w:rsidRPr="00F658E7">
          <w:rPr>
            <w:rStyle w:val="Hyperlink"/>
            <w:rFonts w:ascii="Calibri" w:hAnsi="Calibri"/>
            <w:color w:val="auto"/>
            <w:sz w:val="22"/>
            <w:szCs w:val="22"/>
          </w:rPr>
          <w:t>y</w:t>
        </w:r>
        <w:r w:rsidR="00876C65" w:rsidRPr="00F658E7">
          <w:rPr>
            <w:rStyle w:val="Hyperlink"/>
            <w:rFonts w:ascii="Calibri" w:hAnsi="Calibri"/>
            <w:color w:val="auto"/>
            <w:sz w:val="22"/>
            <w:szCs w:val="22"/>
          </w:rPr>
          <w:t xml:space="preserve"> Statement</w:t>
        </w:r>
      </w:hyperlink>
      <w:r w:rsidR="00876C65" w:rsidRPr="00F658E7">
        <w:rPr>
          <w:rFonts w:ascii="Calibri" w:hAnsi="Calibri"/>
          <w:color w:val="auto"/>
          <w:sz w:val="22"/>
          <w:szCs w:val="22"/>
        </w:rPr>
        <w:t xml:space="preserve"> </w:t>
      </w:r>
      <w:r w:rsidR="00876C65" w:rsidRPr="00F658E7">
        <w:rPr>
          <w:rFonts w:ascii="Calibri" w:hAnsi="Calibri" w:cstheme="minorHAnsi"/>
          <w:color w:val="auto"/>
          <w:sz w:val="22"/>
          <w:szCs w:val="22"/>
        </w:rPr>
        <w:t>details how we give effect to the Treat</w:t>
      </w:r>
      <w:r w:rsidR="00344A7A" w:rsidRPr="00F658E7">
        <w:rPr>
          <w:rFonts w:ascii="Calibri" w:hAnsi="Calibri" w:cstheme="minorHAnsi"/>
          <w:color w:val="auto"/>
          <w:sz w:val="22"/>
          <w:szCs w:val="22"/>
        </w:rPr>
        <w:t>y</w:t>
      </w:r>
      <w:r w:rsidR="00876C65" w:rsidRPr="00F658E7">
        <w:rPr>
          <w:rFonts w:ascii="Calibri" w:hAnsi="Calibri" w:cstheme="minorHAnsi"/>
          <w:color w:val="auto"/>
          <w:sz w:val="22"/>
          <w:szCs w:val="22"/>
        </w:rPr>
        <w:t xml:space="preserve"> in our strategy and operations. As is stated in the Kia </w:t>
      </w:r>
      <w:proofErr w:type="spellStart"/>
      <w:r w:rsidR="00BB329C" w:rsidRPr="00F658E7">
        <w:rPr>
          <w:rFonts w:ascii="Calibri" w:hAnsi="Calibri" w:cstheme="minorHAnsi"/>
          <w:color w:val="auto"/>
          <w:sz w:val="22"/>
          <w:szCs w:val="22"/>
        </w:rPr>
        <w:t>Ō</w:t>
      </w:r>
      <w:r w:rsidR="00876C65" w:rsidRPr="00F658E7">
        <w:rPr>
          <w:rFonts w:ascii="Calibri" w:hAnsi="Calibri" w:cstheme="minorHAnsi"/>
          <w:color w:val="auto"/>
          <w:sz w:val="22"/>
          <w:szCs w:val="22"/>
        </w:rPr>
        <w:t>rite</w:t>
      </w:r>
      <w:proofErr w:type="spellEnd"/>
      <w:r w:rsidR="00876C65" w:rsidRPr="00F658E7">
        <w:rPr>
          <w:rFonts w:ascii="Calibri" w:hAnsi="Calibri" w:cstheme="minorHAnsi"/>
          <w:color w:val="auto"/>
          <w:sz w:val="22"/>
          <w:szCs w:val="22"/>
        </w:rPr>
        <w:t xml:space="preserve"> Toolkit – A New Zealand code of practice, July 2021, p. 11) “The 2013 New Zealand disability survey showed that 26% of Māori live with an impairment of some kind. This is the highest rate for any cultural group in New Zealand, despite an overall young age profile.” All work that the University does on policies and procedures related to disabled students will be done with a view giving effect to </w:t>
      </w:r>
      <w:proofErr w:type="spellStart"/>
      <w:r w:rsidR="00344A7A" w:rsidRPr="00F658E7">
        <w:rPr>
          <w:rFonts w:ascii="Calibri" w:hAnsi="Calibri" w:cstheme="minorHAnsi"/>
          <w:color w:val="auto"/>
          <w:sz w:val="22"/>
          <w:szCs w:val="22"/>
        </w:rPr>
        <w:t>Te</w:t>
      </w:r>
      <w:proofErr w:type="spellEnd"/>
      <w:r w:rsidR="00344A7A" w:rsidRPr="00F658E7">
        <w:rPr>
          <w:rFonts w:ascii="Calibri" w:hAnsi="Calibri" w:cstheme="minorHAnsi"/>
          <w:color w:val="auto"/>
          <w:sz w:val="22"/>
          <w:szCs w:val="22"/>
        </w:rPr>
        <w:t xml:space="preserve"> </w:t>
      </w:r>
      <w:proofErr w:type="spellStart"/>
      <w:r w:rsidR="00344A7A" w:rsidRPr="00F658E7">
        <w:rPr>
          <w:rFonts w:ascii="Calibri" w:hAnsi="Calibri" w:cstheme="minorHAnsi"/>
          <w:color w:val="auto"/>
          <w:sz w:val="22"/>
          <w:szCs w:val="22"/>
        </w:rPr>
        <w:t>Tir</w:t>
      </w:r>
      <w:r w:rsidR="009773EC" w:rsidRPr="00F658E7">
        <w:rPr>
          <w:rFonts w:ascii="Calibri" w:hAnsi="Calibri" w:cstheme="minorHAnsi"/>
          <w:color w:val="auto"/>
          <w:sz w:val="22"/>
          <w:szCs w:val="22"/>
        </w:rPr>
        <w:t>iti</w:t>
      </w:r>
      <w:proofErr w:type="spellEnd"/>
      <w:r w:rsidR="00876C65" w:rsidRPr="00F658E7">
        <w:rPr>
          <w:rFonts w:ascii="Calibri" w:hAnsi="Calibri" w:cstheme="minorHAnsi"/>
          <w:color w:val="auto"/>
          <w:sz w:val="22"/>
          <w:szCs w:val="22"/>
        </w:rPr>
        <w:t xml:space="preserve">. </w:t>
      </w:r>
    </w:p>
    <w:p w14:paraId="2341D6FD" w14:textId="02FA6CAA" w:rsidR="00293F66" w:rsidRPr="00F658E7" w:rsidRDefault="00876C65" w:rsidP="0012782C">
      <w:pPr>
        <w:pStyle w:val="Default"/>
        <w:rPr>
          <w:rFonts w:ascii="Calibri" w:hAnsi="Calibri" w:cs="Calibri"/>
          <w:color w:val="auto"/>
          <w:sz w:val="22"/>
          <w:szCs w:val="22"/>
        </w:rPr>
      </w:pPr>
      <w:r w:rsidRPr="00F658E7">
        <w:rPr>
          <w:rFonts w:ascii="Calibri" w:hAnsi="Calibri" w:cs="Calibri"/>
          <w:color w:val="auto"/>
          <w:sz w:val="22"/>
          <w:szCs w:val="22"/>
        </w:rPr>
        <w:t xml:space="preserve"> </w:t>
      </w:r>
    </w:p>
    <w:p w14:paraId="6B5B40EA" w14:textId="624E1F2E" w:rsidR="003F7F19" w:rsidRPr="00F658E7" w:rsidRDefault="003F7F19" w:rsidP="0012782C">
      <w:pPr>
        <w:pStyle w:val="Heading3"/>
        <w:spacing w:line="240" w:lineRule="auto"/>
        <w:rPr>
          <w:color w:val="auto"/>
        </w:rPr>
      </w:pPr>
      <w:bookmarkStart w:id="34" w:name="_Toc120609576"/>
      <w:r w:rsidRPr="00F658E7">
        <w:rPr>
          <w:color w:val="auto"/>
        </w:rPr>
        <w:t xml:space="preserve">What will the University do to achieve this </w:t>
      </w:r>
      <w:r w:rsidR="002C7FDA">
        <w:rPr>
          <w:color w:val="auto"/>
        </w:rPr>
        <w:t>o</w:t>
      </w:r>
      <w:r w:rsidRPr="00F658E7">
        <w:rPr>
          <w:color w:val="auto"/>
        </w:rPr>
        <w:t>bjective?</w:t>
      </w:r>
      <w:bookmarkEnd w:id="34"/>
    </w:p>
    <w:p w14:paraId="4274DE97" w14:textId="668FCB9E" w:rsidR="00EC25C1" w:rsidRPr="00F658E7" w:rsidRDefault="00EC25C1" w:rsidP="0012782C">
      <w:pPr>
        <w:pStyle w:val="Default"/>
        <w:numPr>
          <w:ilvl w:val="0"/>
          <w:numId w:val="9"/>
        </w:numPr>
        <w:rPr>
          <w:rFonts w:ascii="Calibri" w:hAnsi="Calibri" w:cs="Calibri"/>
          <w:color w:val="auto"/>
          <w:sz w:val="22"/>
          <w:szCs w:val="22"/>
        </w:rPr>
      </w:pPr>
      <w:r w:rsidRPr="00F658E7">
        <w:rPr>
          <w:rFonts w:ascii="Calibri" w:hAnsi="Calibri" w:cs="Calibri"/>
          <w:color w:val="auto"/>
          <w:sz w:val="22"/>
          <w:szCs w:val="22"/>
        </w:rPr>
        <w:t>Finalise</w:t>
      </w:r>
      <w:r w:rsidR="0014559A" w:rsidRPr="00F658E7">
        <w:rPr>
          <w:rFonts w:ascii="Calibri" w:hAnsi="Calibri" w:cs="Calibri"/>
          <w:color w:val="auto"/>
          <w:sz w:val="22"/>
          <w:szCs w:val="22"/>
        </w:rPr>
        <w:t xml:space="preserve"> </w:t>
      </w:r>
      <w:r w:rsidR="009773EC" w:rsidRPr="00F658E7">
        <w:rPr>
          <w:rFonts w:ascii="Calibri" w:hAnsi="Calibri" w:cs="Calibri"/>
          <w:color w:val="auto"/>
          <w:sz w:val="22"/>
          <w:szCs w:val="22"/>
        </w:rPr>
        <w:t xml:space="preserve">the </w:t>
      </w:r>
      <w:r w:rsidR="0014559A" w:rsidRPr="00F658E7">
        <w:rPr>
          <w:rFonts w:ascii="Calibri" w:hAnsi="Calibri" w:cs="Calibri"/>
          <w:color w:val="auto"/>
          <w:sz w:val="22"/>
          <w:szCs w:val="22"/>
        </w:rPr>
        <w:t xml:space="preserve">Students with </w:t>
      </w:r>
      <w:r w:rsidRPr="00F658E7">
        <w:rPr>
          <w:rFonts w:ascii="Calibri" w:hAnsi="Calibri" w:cs="Calibri"/>
          <w:color w:val="auto"/>
          <w:sz w:val="22"/>
          <w:szCs w:val="22"/>
        </w:rPr>
        <w:t>D</w:t>
      </w:r>
      <w:r w:rsidR="0014559A" w:rsidRPr="00F658E7">
        <w:rPr>
          <w:rFonts w:ascii="Calibri" w:hAnsi="Calibri" w:cs="Calibri"/>
          <w:color w:val="auto"/>
          <w:sz w:val="22"/>
          <w:szCs w:val="22"/>
        </w:rPr>
        <w:t xml:space="preserve">isabilities and </w:t>
      </w:r>
      <w:r w:rsidRPr="00F658E7">
        <w:rPr>
          <w:rFonts w:ascii="Calibri" w:hAnsi="Calibri" w:cs="Calibri"/>
          <w:color w:val="auto"/>
          <w:sz w:val="22"/>
          <w:szCs w:val="22"/>
        </w:rPr>
        <w:t>I</w:t>
      </w:r>
      <w:r w:rsidR="0014559A" w:rsidRPr="00F658E7">
        <w:rPr>
          <w:rFonts w:ascii="Calibri" w:hAnsi="Calibri" w:cs="Calibri"/>
          <w:color w:val="auto"/>
          <w:sz w:val="22"/>
          <w:szCs w:val="22"/>
        </w:rPr>
        <w:t>mpairments policy</w:t>
      </w:r>
    </w:p>
    <w:p w14:paraId="38F711CD" w14:textId="3AB13192" w:rsidR="005C1C5A" w:rsidRPr="00F658E7" w:rsidRDefault="00EC25C1" w:rsidP="0012782C">
      <w:pPr>
        <w:pStyle w:val="Default"/>
        <w:numPr>
          <w:ilvl w:val="0"/>
          <w:numId w:val="9"/>
        </w:numPr>
        <w:rPr>
          <w:rFonts w:ascii="Calibri" w:hAnsi="Calibri" w:cs="Calibri"/>
          <w:color w:val="auto"/>
          <w:sz w:val="22"/>
          <w:szCs w:val="22"/>
        </w:rPr>
      </w:pPr>
      <w:r w:rsidRPr="00F658E7">
        <w:rPr>
          <w:rFonts w:ascii="Calibri" w:hAnsi="Calibri" w:cs="Calibri"/>
          <w:color w:val="auto"/>
          <w:sz w:val="22"/>
          <w:szCs w:val="22"/>
        </w:rPr>
        <w:t xml:space="preserve">Request </w:t>
      </w:r>
      <w:r w:rsidR="00035815" w:rsidRPr="00F658E7">
        <w:rPr>
          <w:rFonts w:ascii="Calibri" w:hAnsi="Calibri" w:cs="Calibri"/>
          <w:color w:val="auto"/>
          <w:sz w:val="22"/>
          <w:szCs w:val="22"/>
        </w:rPr>
        <w:t xml:space="preserve">feedback </w:t>
      </w:r>
      <w:r w:rsidRPr="00F658E7">
        <w:rPr>
          <w:rFonts w:ascii="Calibri" w:hAnsi="Calibri" w:cs="Calibri"/>
          <w:color w:val="auto"/>
          <w:sz w:val="22"/>
          <w:szCs w:val="22"/>
        </w:rPr>
        <w:t xml:space="preserve">on the new policy </w:t>
      </w:r>
      <w:r w:rsidR="00035815" w:rsidRPr="00F658E7">
        <w:rPr>
          <w:rFonts w:ascii="Calibri" w:hAnsi="Calibri" w:cs="Calibri"/>
          <w:color w:val="auto"/>
          <w:sz w:val="22"/>
          <w:szCs w:val="22"/>
        </w:rPr>
        <w:t xml:space="preserve">from the </w:t>
      </w:r>
      <w:r w:rsidRPr="00F658E7">
        <w:rPr>
          <w:rFonts w:ascii="Calibri" w:hAnsi="Calibri" w:cs="Calibri"/>
          <w:color w:val="auto"/>
          <w:sz w:val="22"/>
          <w:szCs w:val="22"/>
        </w:rPr>
        <w:t xml:space="preserve">wider </w:t>
      </w:r>
      <w:r w:rsidR="00035815" w:rsidRPr="00F658E7">
        <w:rPr>
          <w:rFonts w:ascii="Calibri" w:hAnsi="Calibri" w:cs="Calibri"/>
          <w:color w:val="auto"/>
          <w:sz w:val="22"/>
          <w:szCs w:val="22"/>
        </w:rPr>
        <w:t>University community</w:t>
      </w:r>
      <w:r w:rsidRPr="00F658E7">
        <w:rPr>
          <w:rFonts w:ascii="Calibri" w:hAnsi="Calibri" w:cs="Calibri"/>
          <w:color w:val="auto"/>
          <w:sz w:val="22"/>
          <w:szCs w:val="22"/>
        </w:rPr>
        <w:t xml:space="preserve"> </w:t>
      </w:r>
    </w:p>
    <w:p w14:paraId="6E0D8CBD" w14:textId="4ED84865" w:rsidR="00EC25C1" w:rsidRPr="00F658E7" w:rsidRDefault="00035815" w:rsidP="0012782C">
      <w:pPr>
        <w:pStyle w:val="Default"/>
        <w:numPr>
          <w:ilvl w:val="0"/>
          <w:numId w:val="9"/>
        </w:numPr>
        <w:rPr>
          <w:rFonts w:ascii="Calibri" w:hAnsi="Calibri" w:cs="Calibri"/>
          <w:color w:val="auto"/>
          <w:sz w:val="22"/>
          <w:szCs w:val="22"/>
        </w:rPr>
      </w:pPr>
      <w:r w:rsidRPr="00F658E7">
        <w:rPr>
          <w:rFonts w:ascii="Calibri" w:hAnsi="Calibri" w:cs="Calibri"/>
          <w:color w:val="auto"/>
          <w:sz w:val="22"/>
          <w:szCs w:val="22"/>
        </w:rPr>
        <w:t xml:space="preserve">Make any </w:t>
      </w:r>
      <w:r w:rsidR="00EC25C1" w:rsidRPr="00F658E7">
        <w:rPr>
          <w:rFonts w:ascii="Calibri" w:hAnsi="Calibri" w:cs="Calibri"/>
          <w:color w:val="auto"/>
          <w:sz w:val="22"/>
          <w:szCs w:val="22"/>
        </w:rPr>
        <w:t>required</w:t>
      </w:r>
      <w:r w:rsidRPr="00F658E7">
        <w:rPr>
          <w:rFonts w:ascii="Calibri" w:hAnsi="Calibri" w:cs="Calibri"/>
          <w:color w:val="auto"/>
          <w:sz w:val="22"/>
          <w:szCs w:val="22"/>
        </w:rPr>
        <w:t xml:space="preserve"> revisions to the policy based on feedback</w:t>
      </w:r>
      <w:r w:rsidR="00EC25C1" w:rsidRPr="00F658E7">
        <w:rPr>
          <w:rFonts w:ascii="Calibri" w:hAnsi="Calibri" w:cs="Calibri"/>
          <w:color w:val="auto"/>
          <w:sz w:val="22"/>
          <w:szCs w:val="22"/>
        </w:rPr>
        <w:t xml:space="preserve"> (re-circulate for a further round if feedback has been substantive)</w:t>
      </w:r>
    </w:p>
    <w:p w14:paraId="2A823B8F" w14:textId="68881B6D" w:rsidR="00EC25C1" w:rsidRPr="00F658E7" w:rsidRDefault="00EC25C1" w:rsidP="0012782C">
      <w:pPr>
        <w:pStyle w:val="Default"/>
        <w:numPr>
          <w:ilvl w:val="0"/>
          <w:numId w:val="9"/>
        </w:numPr>
        <w:rPr>
          <w:rFonts w:ascii="Calibri" w:hAnsi="Calibri" w:cs="Calibri"/>
          <w:color w:val="auto"/>
          <w:sz w:val="22"/>
          <w:szCs w:val="22"/>
        </w:rPr>
      </w:pPr>
      <w:r w:rsidRPr="00F658E7">
        <w:rPr>
          <w:rFonts w:ascii="Calibri" w:hAnsi="Calibri" w:cs="Calibri"/>
          <w:color w:val="auto"/>
          <w:sz w:val="22"/>
          <w:szCs w:val="22"/>
        </w:rPr>
        <w:t>Seek Vice-Chancellor’s approval for the policy</w:t>
      </w:r>
    </w:p>
    <w:p w14:paraId="2DC9C596" w14:textId="63369417" w:rsidR="005C1C5A" w:rsidRPr="00F658E7" w:rsidRDefault="00EC25C1" w:rsidP="0012782C">
      <w:pPr>
        <w:pStyle w:val="Default"/>
        <w:numPr>
          <w:ilvl w:val="0"/>
          <w:numId w:val="9"/>
        </w:numPr>
        <w:rPr>
          <w:rFonts w:ascii="Calibri" w:hAnsi="Calibri" w:cs="Calibri"/>
          <w:color w:val="auto"/>
          <w:sz w:val="22"/>
          <w:szCs w:val="22"/>
        </w:rPr>
      </w:pPr>
      <w:r w:rsidRPr="00F658E7">
        <w:rPr>
          <w:rFonts w:ascii="Calibri" w:hAnsi="Calibri" w:cs="Calibri"/>
          <w:color w:val="auto"/>
          <w:sz w:val="22"/>
          <w:szCs w:val="22"/>
        </w:rPr>
        <w:t xml:space="preserve">Review </w:t>
      </w:r>
      <w:r w:rsidR="0031510F" w:rsidRPr="00F658E7">
        <w:rPr>
          <w:rFonts w:ascii="Calibri" w:hAnsi="Calibri" w:cs="Calibri"/>
          <w:color w:val="auto"/>
          <w:sz w:val="22"/>
          <w:szCs w:val="22"/>
        </w:rPr>
        <w:t xml:space="preserve">and make any required changes or improvements to </w:t>
      </w:r>
      <w:r w:rsidRPr="00F658E7">
        <w:rPr>
          <w:rFonts w:ascii="Calibri" w:hAnsi="Calibri" w:cs="Calibri"/>
          <w:color w:val="auto"/>
          <w:sz w:val="22"/>
          <w:szCs w:val="22"/>
        </w:rPr>
        <w:t xml:space="preserve">related </w:t>
      </w:r>
      <w:r w:rsidR="009773EC" w:rsidRPr="00F658E7">
        <w:rPr>
          <w:rFonts w:ascii="Calibri" w:hAnsi="Calibri" w:cs="Calibri"/>
          <w:color w:val="auto"/>
          <w:sz w:val="22"/>
          <w:szCs w:val="22"/>
        </w:rPr>
        <w:t>University polic</w:t>
      </w:r>
      <w:r w:rsidR="002C7FDA">
        <w:rPr>
          <w:rFonts w:ascii="Calibri" w:hAnsi="Calibri" w:cs="Calibri"/>
          <w:color w:val="auto"/>
          <w:sz w:val="22"/>
          <w:szCs w:val="22"/>
        </w:rPr>
        <w:t>ies</w:t>
      </w:r>
      <w:r w:rsidR="009773EC" w:rsidRPr="00F658E7">
        <w:rPr>
          <w:rFonts w:ascii="Calibri" w:hAnsi="Calibri" w:cs="Calibri"/>
          <w:color w:val="auto"/>
          <w:sz w:val="22"/>
          <w:szCs w:val="22"/>
        </w:rPr>
        <w:t xml:space="preserve"> to reflect this policy </w:t>
      </w:r>
      <w:r w:rsidRPr="00F658E7">
        <w:rPr>
          <w:rFonts w:ascii="Calibri" w:hAnsi="Calibri" w:cs="Calibri"/>
          <w:color w:val="auto"/>
          <w:sz w:val="22"/>
          <w:szCs w:val="22"/>
        </w:rPr>
        <w:t xml:space="preserve"> </w:t>
      </w:r>
    </w:p>
    <w:p w14:paraId="1B718D30" w14:textId="3FDC2CF8" w:rsidR="0031510F" w:rsidRPr="00F658E7" w:rsidRDefault="0031510F" w:rsidP="0012782C">
      <w:pPr>
        <w:pStyle w:val="Default"/>
        <w:numPr>
          <w:ilvl w:val="0"/>
          <w:numId w:val="9"/>
        </w:numPr>
        <w:rPr>
          <w:rFonts w:ascii="Calibri" w:hAnsi="Calibri" w:cs="Calibri"/>
          <w:color w:val="auto"/>
          <w:sz w:val="22"/>
          <w:szCs w:val="22"/>
        </w:rPr>
      </w:pPr>
      <w:r w:rsidRPr="00F658E7">
        <w:rPr>
          <w:rFonts w:ascii="Calibri" w:hAnsi="Calibri" w:cs="Calibri"/>
          <w:color w:val="auto"/>
          <w:sz w:val="22"/>
          <w:szCs w:val="22"/>
        </w:rPr>
        <w:t xml:space="preserve">Ensure that </w:t>
      </w:r>
      <w:r w:rsidR="008C52B7" w:rsidRPr="00F658E7">
        <w:rPr>
          <w:rFonts w:ascii="Calibri" w:hAnsi="Calibri" w:cs="Calibri"/>
          <w:color w:val="auto"/>
          <w:sz w:val="22"/>
          <w:szCs w:val="22"/>
        </w:rPr>
        <w:t xml:space="preserve">the University has the necessary </w:t>
      </w:r>
      <w:r w:rsidR="009773EC" w:rsidRPr="00F658E7">
        <w:rPr>
          <w:rFonts w:ascii="Calibri" w:hAnsi="Calibri" w:cs="Calibri"/>
          <w:color w:val="auto"/>
          <w:sz w:val="22"/>
          <w:szCs w:val="22"/>
        </w:rPr>
        <w:t>policies, plans and structures</w:t>
      </w:r>
      <w:r w:rsidR="008C52B7" w:rsidRPr="00F658E7">
        <w:rPr>
          <w:rFonts w:ascii="Calibri" w:hAnsi="Calibri" w:cs="Calibri"/>
          <w:color w:val="auto"/>
          <w:sz w:val="22"/>
          <w:szCs w:val="22"/>
        </w:rPr>
        <w:t xml:space="preserve"> in place to enable it to</w:t>
      </w:r>
      <w:r w:rsidRPr="00F658E7">
        <w:rPr>
          <w:rFonts w:ascii="Calibri" w:hAnsi="Calibri" w:cs="Calibri"/>
          <w:color w:val="auto"/>
          <w:sz w:val="22"/>
          <w:szCs w:val="22"/>
        </w:rPr>
        <w:t xml:space="preserve"> enact the expectations in the </w:t>
      </w:r>
      <w:r w:rsidR="008C52B7" w:rsidRPr="00F658E7">
        <w:rPr>
          <w:rFonts w:ascii="Calibri" w:hAnsi="Calibri" w:cs="Calibri"/>
          <w:color w:val="auto"/>
          <w:sz w:val="22"/>
          <w:szCs w:val="22"/>
        </w:rPr>
        <w:t>Codes</w:t>
      </w:r>
      <w:r w:rsidRPr="00F658E7">
        <w:rPr>
          <w:rFonts w:ascii="Calibri" w:hAnsi="Calibri" w:cs="Calibri"/>
          <w:color w:val="auto"/>
          <w:sz w:val="22"/>
          <w:szCs w:val="22"/>
        </w:rPr>
        <w:t xml:space="preserve"> of Practice for the pastoral care of </w:t>
      </w:r>
      <w:r w:rsidR="002C7FDA">
        <w:rPr>
          <w:rFonts w:ascii="Calibri" w:hAnsi="Calibri" w:cs="Calibri"/>
          <w:color w:val="auto"/>
          <w:sz w:val="22"/>
          <w:szCs w:val="22"/>
        </w:rPr>
        <w:t xml:space="preserve">all </w:t>
      </w:r>
      <w:r w:rsidRPr="00F658E7">
        <w:rPr>
          <w:rFonts w:ascii="Calibri" w:hAnsi="Calibri" w:cs="Calibri"/>
          <w:color w:val="auto"/>
          <w:sz w:val="22"/>
          <w:szCs w:val="22"/>
        </w:rPr>
        <w:t>domestic tertiary</w:t>
      </w:r>
      <w:r w:rsidR="008C52B7" w:rsidRPr="00F658E7">
        <w:rPr>
          <w:rFonts w:ascii="Calibri" w:hAnsi="Calibri" w:cs="Calibri"/>
          <w:color w:val="auto"/>
          <w:sz w:val="22"/>
          <w:szCs w:val="22"/>
        </w:rPr>
        <w:t xml:space="preserve"> students and international students</w:t>
      </w:r>
    </w:p>
    <w:p w14:paraId="300C5B46" w14:textId="7077F650" w:rsidR="005C1C5A" w:rsidRPr="00F658E7" w:rsidRDefault="005C1C5A" w:rsidP="0012782C">
      <w:pPr>
        <w:pStyle w:val="Heading1"/>
        <w:spacing w:line="240" w:lineRule="auto"/>
        <w:rPr>
          <w:color w:val="auto"/>
        </w:rPr>
      </w:pPr>
      <w:bookmarkStart w:id="35" w:name="_Toc120609577"/>
      <w:r w:rsidRPr="00F658E7">
        <w:rPr>
          <w:color w:val="auto"/>
        </w:rPr>
        <w:t>5. Evaluation strateg</w:t>
      </w:r>
      <w:r w:rsidR="00ED5551" w:rsidRPr="00F658E7">
        <w:rPr>
          <w:color w:val="auto"/>
        </w:rPr>
        <w:t>y</w:t>
      </w:r>
      <w:bookmarkEnd w:id="35"/>
    </w:p>
    <w:p w14:paraId="35FEAF10" w14:textId="3A468C01" w:rsidR="00ED5551" w:rsidRPr="00F658E7" w:rsidRDefault="00ED5551" w:rsidP="0012782C">
      <w:pPr>
        <w:pStyle w:val="Default"/>
        <w:rPr>
          <w:rFonts w:ascii="Calibri" w:hAnsi="Calibri" w:cs="Calibri"/>
          <w:color w:val="auto"/>
          <w:sz w:val="22"/>
          <w:szCs w:val="22"/>
        </w:rPr>
      </w:pPr>
      <w:r w:rsidRPr="00F658E7">
        <w:rPr>
          <w:rFonts w:ascii="Calibri" w:hAnsi="Calibri" w:cs="Calibri"/>
          <w:color w:val="auto"/>
          <w:sz w:val="22"/>
          <w:szCs w:val="22"/>
        </w:rPr>
        <w:t xml:space="preserve">The University of Waikato currently collects and monitors data on the participation and achievement of students from Māori, Pacific, and equity groups, including disabled students. Evaluation of the DAP will involve using these data, along with new process and outcome measures developed in collaboration with DAP workstream owners, the </w:t>
      </w:r>
      <w:r w:rsidR="00EC25C1" w:rsidRPr="00F658E7">
        <w:rPr>
          <w:rFonts w:ascii="Calibri" w:hAnsi="Calibri" w:cs="Calibri"/>
          <w:color w:val="auto"/>
          <w:sz w:val="22"/>
          <w:szCs w:val="22"/>
        </w:rPr>
        <w:t xml:space="preserve">Access and Inclusion </w:t>
      </w:r>
      <w:r w:rsidRPr="00F658E7">
        <w:rPr>
          <w:rFonts w:ascii="Calibri" w:hAnsi="Calibri" w:cs="Calibri"/>
          <w:color w:val="auto"/>
          <w:sz w:val="22"/>
          <w:szCs w:val="22"/>
        </w:rPr>
        <w:t xml:space="preserve">Working Group, </w:t>
      </w:r>
      <w:r w:rsidR="005C2BB8" w:rsidRPr="00F658E7">
        <w:rPr>
          <w:rFonts w:ascii="Calibri" w:hAnsi="Calibri" w:cs="Calibri"/>
          <w:color w:val="auto"/>
          <w:sz w:val="22"/>
          <w:szCs w:val="22"/>
        </w:rPr>
        <w:t xml:space="preserve">and </w:t>
      </w:r>
      <w:r w:rsidRPr="00F658E7">
        <w:rPr>
          <w:rFonts w:ascii="Calibri" w:hAnsi="Calibri" w:cs="Calibri"/>
          <w:color w:val="auto"/>
          <w:sz w:val="22"/>
          <w:szCs w:val="22"/>
        </w:rPr>
        <w:t xml:space="preserve">the University’s Planning, Performance and Analytics Unit. This work will be carried out in 2023 led by the Deputy Vice-Chancellor Academic to produce an appendix to the DAP that will be a portfolio of measures that allow evaluation of the DAP against each of the four objectives identified above. </w:t>
      </w:r>
    </w:p>
    <w:p w14:paraId="31003929" w14:textId="77777777" w:rsidR="00ED5551" w:rsidRPr="00F658E7" w:rsidRDefault="00ED5551" w:rsidP="0012782C">
      <w:pPr>
        <w:pStyle w:val="Default"/>
        <w:rPr>
          <w:rFonts w:ascii="Calibri" w:hAnsi="Calibri" w:cs="Calibri"/>
          <w:color w:val="auto"/>
          <w:sz w:val="22"/>
          <w:szCs w:val="22"/>
        </w:rPr>
      </w:pPr>
    </w:p>
    <w:p w14:paraId="3ED034A8" w14:textId="2C68C72C" w:rsidR="00ED5551" w:rsidRPr="00F658E7" w:rsidRDefault="00ED5551" w:rsidP="0012782C">
      <w:pPr>
        <w:pStyle w:val="Default"/>
        <w:rPr>
          <w:rFonts w:ascii="Calibri" w:hAnsi="Calibri" w:cs="Calibri"/>
          <w:b/>
          <w:bCs/>
          <w:color w:val="auto"/>
          <w:sz w:val="22"/>
          <w:szCs w:val="22"/>
        </w:rPr>
      </w:pPr>
      <w:r w:rsidRPr="00F658E7">
        <w:rPr>
          <w:rFonts w:ascii="Calibri" w:hAnsi="Calibri" w:cs="Calibri"/>
          <w:color w:val="auto"/>
          <w:sz w:val="22"/>
          <w:szCs w:val="22"/>
        </w:rPr>
        <w:t xml:space="preserve">The Deputy Vice-Chancellor Academic will, in partnership with the DAP workstream owners and the DAP </w:t>
      </w:r>
      <w:r w:rsidR="00EC25C1" w:rsidRPr="00F658E7">
        <w:rPr>
          <w:rFonts w:ascii="Calibri" w:hAnsi="Calibri" w:cs="Calibri"/>
          <w:color w:val="auto"/>
          <w:sz w:val="22"/>
          <w:szCs w:val="22"/>
        </w:rPr>
        <w:t>Access and Inclusion Working Group</w:t>
      </w:r>
      <w:r w:rsidRPr="00F658E7">
        <w:rPr>
          <w:rFonts w:ascii="Calibri" w:hAnsi="Calibri" w:cs="Calibri"/>
          <w:color w:val="auto"/>
          <w:sz w:val="22"/>
          <w:szCs w:val="22"/>
        </w:rPr>
        <w:t xml:space="preserve"> determine the reporting and monitoring format and frequency. At this stage, the expectation is for the University’s Vice-Chancellor’s Executive Group and Council to receive reports annually.</w:t>
      </w:r>
    </w:p>
    <w:p w14:paraId="3A6C3199" w14:textId="2A2A6779" w:rsidR="0048013D" w:rsidRPr="00F658E7" w:rsidRDefault="0048013D" w:rsidP="0012782C">
      <w:pPr>
        <w:pStyle w:val="Heading1"/>
        <w:spacing w:line="240" w:lineRule="auto"/>
        <w:rPr>
          <w:color w:val="auto"/>
        </w:rPr>
      </w:pPr>
      <w:bookmarkStart w:id="36" w:name="_Toc120609578"/>
      <w:r w:rsidRPr="00F658E7">
        <w:rPr>
          <w:color w:val="auto"/>
        </w:rPr>
        <w:t>6. Allocation of responsibility and resources</w:t>
      </w:r>
      <w:bookmarkEnd w:id="36"/>
    </w:p>
    <w:p w14:paraId="074B98EF" w14:textId="3904CAC6" w:rsidR="00665038" w:rsidRPr="00D910F0" w:rsidRDefault="003F7F19" w:rsidP="0012782C">
      <w:pPr>
        <w:spacing w:after="0" w:line="240" w:lineRule="auto"/>
        <w:rPr>
          <w:rFonts w:ascii="Calibri" w:hAnsi="Calibri" w:cs="Calibri"/>
          <w:b/>
          <w:bCs/>
        </w:rPr>
      </w:pPr>
      <w:r w:rsidRPr="00665B84">
        <w:rPr>
          <w:rFonts w:ascii="Calibri" w:hAnsi="Calibri" w:cs="Calibri"/>
        </w:rPr>
        <w:t xml:space="preserve">The Students with Disabilities and Impairments Policy and related policies and documents such as the DAP place responsibility on all </w:t>
      </w:r>
      <w:r w:rsidR="00321D99" w:rsidRPr="00665B84">
        <w:rPr>
          <w:rFonts w:ascii="Calibri" w:hAnsi="Calibri" w:cs="Calibri"/>
        </w:rPr>
        <w:t>staff</w:t>
      </w:r>
      <w:r w:rsidRPr="00F22E21">
        <w:rPr>
          <w:rFonts w:ascii="Calibri" w:hAnsi="Calibri" w:cs="Calibri"/>
        </w:rPr>
        <w:t xml:space="preserve"> and students to enact them. Specific roles and responsibilities under the DAP are set out in </w:t>
      </w:r>
      <w:r w:rsidR="00321D99" w:rsidRPr="00D910F0">
        <w:rPr>
          <w:rFonts w:ascii="Calibri" w:hAnsi="Calibri" w:cs="Calibri"/>
        </w:rPr>
        <w:t xml:space="preserve">Section </w:t>
      </w:r>
      <w:r w:rsidR="00665038" w:rsidRPr="00D910F0">
        <w:rPr>
          <w:rFonts w:ascii="Calibri" w:hAnsi="Calibri" w:cs="Calibri"/>
        </w:rPr>
        <w:t>1.3</w:t>
      </w:r>
      <w:r w:rsidR="00321D99" w:rsidRPr="00D910F0">
        <w:rPr>
          <w:rFonts w:ascii="Calibri" w:hAnsi="Calibri" w:cs="Calibri"/>
        </w:rPr>
        <w:t xml:space="preserve"> of this Plan</w:t>
      </w:r>
      <w:r w:rsidRPr="00D910F0">
        <w:rPr>
          <w:rFonts w:ascii="Calibri" w:hAnsi="Calibri" w:cs="Calibri"/>
        </w:rPr>
        <w:t xml:space="preserve">. </w:t>
      </w:r>
      <w:r w:rsidR="00665038" w:rsidRPr="00D910F0">
        <w:rPr>
          <w:rFonts w:ascii="Calibri" w:hAnsi="Calibri" w:cs="Calibri"/>
        </w:rPr>
        <w:t xml:space="preserve">To summarise, </w:t>
      </w:r>
      <w:r w:rsidR="00517BB9" w:rsidRPr="00D910F0">
        <w:rPr>
          <w:rFonts w:ascii="Calibri" w:hAnsi="Calibri" w:cs="Calibri"/>
        </w:rPr>
        <w:t>ac</w:t>
      </w:r>
      <w:r w:rsidR="00665038" w:rsidRPr="00D910F0">
        <w:rPr>
          <w:rFonts w:ascii="Calibri" w:hAnsi="Calibri" w:cs="Calibri"/>
        </w:rPr>
        <w:t xml:space="preserve">countability for delivering the objectives of the DAP </w:t>
      </w:r>
      <w:r w:rsidR="00517BB9" w:rsidRPr="00D910F0">
        <w:rPr>
          <w:rFonts w:ascii="Calibri" w:hAnsi="Calibri" w:cs="Calibri"/>
        </w:rPr>
        <w:t>will be</w:t>
      </w:r>
      <w:r w:rsidR="00665038" w:rsidRPr="00D910F0">
        <w:rPr>
          <w:rFonts w:ascii="Calibri" w:hAnsi="Calibri" w:cs="Calibri"/>
        </w:rPr>
        <w:t xml:space="preserve"> shared across four workstream </w:t>
      </w:r>
      <w:r w:rsidR="00517BB9" w:rsidRPr="00D910F0">
        <w:rPr>
          <w:rFonts w:ascii="Calibri" w:hAnsi="Calibri" w:cs="Calibri"/>
        </w:rPr>
        <w:t>owners, all of whom</w:t>
      </w:r>
      <w:r w:rsidR="00665038" w:rsidRPr="00D910F0">
        <w:rPr>
          <w:rFonts w:ascii="Calibri" w:hAnsi="Calibri" w:cs="Calibri"/>
        </w:rPr>
        <w:t xml:space="preserve"> hold senior positions</w:t>
      </w:r>
      <w:r w:rsidR="00517BB9" w:rsidRPr="00D910F0">
        <w:rPr>
          <w:rFonts w:ascii="Calibri" w:hAnsi="Calibri" w:cs="Calibri"/>
        </w:rPr>
        <w:t xml:space="preserve">. They </w:t>
      </w:r>
      <w:r w:rsidR="00665038" w:rsidRPr="00D910F0">
        <w:rPr>
          <w:rFonts w:ascii="Calibri" w:hAnsi="Calibri" w:cs="Calibri"/>
        </w:rPr>
        <w:t>will be required to report progress to the Deputy Vice-Chancellor Academic (DVCA</w:t>
      </w:r>
      <w:r w:rsidR="00517BB9" w:rsidRPr="00D910F0">
        <w:rPr>
          <w:rFonts w:ascii="Calibri" w:hAnsi="Calibri" w:cs="Calibri"/>
        </w:rPr>
        <w:t>) who will</w:t>
      </w:r>
      <w:r w:rsidR="00665038" w:rsidRPr="00D910F0">
        <w:rPr>
          <w:rFonts w:ascii="Calibri" w:hAnsi="Calibri" w:cs="Calibri"/>
        </w:rPr>
        <w:t xml:space="preserve"> in turn report twice yearly to the Vice-Chancellor’s Executive Committee and the University Council. </w:t>
      </w:r>
    </w:p>
    <w:p w14:paraId="59DF0D98" w14:textId="23917B1F" w:rsidR="005C1C5A" w:rsidRPr="00F658E7" w:rsidRDefault="0048013D" w:rsidP="0012782C">
      <w:pPr>
        <w:pStyle w:val="Heading1"/>
        <w:spacing w:line="240" w:lineRule="auto"/>
        <w:rPr>
          <w:color w:val="auto"/>
        </w:rPr>
      </w:pPr>
      <w:bookmarkStart w:id="37" w:name="_Toc120609579"/>
      <w:r w:rsidRPr="00F658E7">
        <w:rPr>
          <w:color w:val="auto"/>
        </w:rPr>
        <w:t>7</w:t>
      </w:r>
      <w:r w:rsidR="005C1C5A" w:rsidRPr="00F658E7">
        <w:rPr>
          <w:color w:val="auto"/>
        </w:rPr>
        <w:t>. Communication of policies and programmes</w:t>
      </w:r>
      <w:bookmarkEnd w:id="37"/>
    </w:p>
    <w:p w14:paraId="28DB4DCF" w14:textId="2511E5AB" w:rsidR="008C52B7" w:rsidRPr="00F658E7" w:rsidRDefault="008C52B7" w:rsidP="0012782C">
      <w:pPr>
        <w:pStyle w:val="Default"/>
        <w:spacing w:after="160"/>
        <w:rPr>
          <w:rFonts w:ascii="Calibri" w:hAnsi="Calibri" w:cs="Calibri"/>
          <w:color w:val="auto"/>
          <w:sz w:val="22"/>
          <w:szCs w:val="22"/>
        </w:rPr>
      </w:pPr>
      <w:r w:rsidRPr="00F658E7">
        <w:rPr>
          <w:rFonts w:ascii="Calibri" w:hAnsi="Calibri" w:cs="Calibri"/>
          <w:color w:val="auto"/>
          <w:sz w:val="22"/>
          <w:szCs w:val="22"/>
        </w:rPr>
        <w:t xml:space="preserve">It is the responsibility of all staff </w:t>
      </w:r>
      <w:r w:rsidR="00A742E6" w:rsidRPr="00F658E7">
        <w:rPr>
          <w:rFonts w:ascii="Calibri" w:hAnsi="Calibri" w:cs="Calibri"/>
          <w:color w:val="auto"/>
          <w:sz w:val="22"/>
          <w:szCs w:val="22"/>
        </w:rPr>
        <w:t xml:space="preserve">– professional and academic - </w:t>
      </w:r>
      <w:r w:rsidRPr="00F658E7">
        <w:rPr>
          <w:rFonts w:ascii="Calibri" w:hAnsi="Calibri" w:cs="Calibri"/>
          <w:color w:val="auto"/>
          <w:sz w:val="22"/>
          <w:szCs w:val="22"/>
        </w:rPr>
        <w:t>at the University of Waikato to be familiar with and enact policies</w:t>
      </w:r>
      <w:r w:rsidR="00A742E6" w:rsidRPr="00F658E7">
        <w:rPr>
          <w:rFonts w:ascii="Calibri" w:hAnsi="Calibri" w:cs="Calibri"/>
          <w:color w:val="auto"/>
          <w:sz w:val="22"/>
          <w:szCs w:val="22"/>
        </w:rPr>
        <w:t xml:space="preserve">, </w:t>
      </w:r>
      <w:r w:rsidRPr="00F658E7">
        <w:rPr>
          <w:rFonts w:ascii="Calibri" w:hAnsi="Calibri" w:cs="Calibri"/>
          <w:color w:val="auto"/>
          <w:sz w:val="22"/>
          <w:szCs w:val="22"/>
        </w:rPr>
        <w:t>programmes</w:t>
      </w:r>
      <w:r w:rsidR="00A742E6" w:rsidRPr="00F658E7">
        <w:rPr>
          <w:rFonts w:ascii="Calibri" w:hAnsi="Calibri" w:cs="Calibri"/>
          <w:color w:val="auto"/>
          <w:sz w:val="22"/>
          <w:szCs w:val="22"/>
        </w:rPr>
        <w:t xml:space="preserve"> and initiatives</w:t>
      </w:r>
      <w:r w:rsidRPr="00F658E7">
        <w:rPr>
          <w:rFonts w:ascii="Calibri" w:hAnsi="Calibri" w:cs="Calibri"/>
          <w:color w:val="auto"/>
          <w:sz w:val="22"/>
          <w:szCs w:val="22"/>
        </w:rPr>
        <w:t xml:space="preserve"> that are focused on making equitable education opportunities available to all students. This means adopting a whole-of-institution approach. We understand that </w:t>
      </w:r>
      <w:r w:rsidR="00A742E6" w:rsidRPr="00F658E7">
        <w:rPr>
          <w:rFonts w:ascii="Calibri" w:hAnsi="Calibri" w:cs="Calibri"/>
          <w:color w:val="auto"/>
          <w:sz w:val="22"/>
          <w:szCs w:val="22"/>
        </w:rPr>
        <w:t>our</w:t>
      </w:r>
      <w:r w:rsidRPr="00F658E7">
        <w:rPr>
          <w:rFonts w:ascii="Calibri" w:hAnsi="Calibri" w:cs="Calibri"/>
          <w:color w:val="auto"/>
          <w:sz w:val="22"/>
          <w:szCs w:val="22"/>
        </w:rPr>
        <w:t xml:space="preserve"> Disability Action Plan </w:t>
      </w:r>
      <w:r w:rsidR="00C329C0" w:rsidRPr="00F658E7">
        <w:rPr>
          <w:rFonts w:ascii="Calibri" w:hAnsi="Calibri" w:cs="Calibri"/>
          <w:color w:val="auto"/>
          <w:sz w:val="22"/>
          <w:szCs w:val="22"/>
        </w:rPr>
        <w:t xml:space="preserve">represents something of a </w:t>
      </w:r>
      <w:r w:rsidR="005C2BB8" w:rsidRPr="00F658E7">
        <w:rPr>
          <w:rFonts w:ascii="Calibri" w:hAnsi="Calibri" w:cs="Calibri"/>
          <w:color w:val="auto"/>
          <w:sz w:val="22"/>
          <w:szCs w:val="22"/>
        </w:rPr>
        <w:t xml:space="preserve">culture </w:t>
      </w:r>
      <w:r w:rsidR="00C329C0" w:rsidRPr="00F658E7">
        <w:rPr>
          <w:rFonts w:ascii="Calibri" w:hAnsi="Calibri" w:cs="Calibri"/>
          <w:color w:val="auto"/>
          <w:sz w:val="22"/>
          <w:szCs w:val="22"/>
        </w:rPr>
        <w:t xml:space="preserve">shift </w:t>
      </w:r>
      <w:r w:rsidRPr="00F658E7">
        <w:rPr>
          <w:rFonts w:ascii="Calibri" w:hAnsi="Calibri" w:cs="Calibri"/>
          <w:color w:val="auto"/>
          <w:sz w:val="22"/>
          <w:szCs w:val="22"/>
        </w:rPr>
        <w:t xml:space="preserve">because </w:t>
      </w:r>
      <w:r w:rsidR="00C329C0" w:rsidRPr="00F658E7">
        <w:rPr>
          <w:rFonts w:ascii="Calibri" w:hAnsi="Calibri" w:cs="Calibri"/>
          <w:color w:val="auto"/>
          <w:sz w:val="22"/>
          <w:szCs w:val="22"/>
        </w:rPr>
        <w:t xml:space="preserve">we are </w:t>
      </w:r>
      <w:r w:rsidRPr="00F658E7">
        <w:rPr>
          <w:rFonts w:ascii="Calibri" w:hAnsi="Calibri" w:cs="Calibri"/>
          <w:color w:val="auto"/>
          <w:sz w:val="22"/>
          <w:szCs w:val="22"/>
        </w:rPr>
        <w:t xml:space="preserve">attempting to ‘de-traditionalise’ university learning environments. </w:t>
      </w:r>
      <w:r w:rsidR="00973657" w:rsidRPr="00F658E7">
        <w:rPr>
          <w:rFonts w:ascii="Calibri" w:hAnsi="Calibri" w:cs="Calibri"/>
          <w:color w:val="auto"/>
          <w:sz w:val="22"/>
          <w:szCs w:val="22"/>
        </w:rPr>
        <w:t xml:space="preserve">As </w:t>
      </w:r>
      <w:r w:rsidR="00C329C0" w:rsidRPr="00F658E7">
        <w:rPr>
          <w:rFonts w:ascii="Calibri" w:hAnsi="Calibri" w:cs="Calibri"/>
          <w:color w:val="auto"/>
          <w:sz w:val="22"/>
          <w:szCs w:val="22"/>
        </w:rPr>
        <w:t>with our</w:t>
      </w:r>
      <w:r w:rsidR="00973657" w:rsidRPr="00F658E7">
        <w:rPr>
          <w:rFonts w:ascii="Calibri" w:hAnsi="Calibri" w:cs="Calibri"/>
          <w:color w:val="auto"/>
          <w:sz w:val="22"/>
          <w:szCs w:val="22"/>
        </w:rPr>
        <w:t xml:space="preserve"> Learner Success Plan (submitted to TEC 8 July 2022) “W</w:t>
      </w:r>
      <w:r w:rsidRPr="00F658E7">
        <w:rPr>
          <w:rFonts w:ascii="Calibri" w:hAnsi="Calibri" w:cs="Calibri"/>
          <w:color w:val="auto"/>
          <w:sz w:val="22"/>
          <w:szCs w:val="22"/>
        </w:rPr>
        <w:t>e are aiming to establish the infrastructure necessary to make learning work for all learners. We need to create an inclusive and equitable learning environment that is flexible and supports learners to be better set up to learn independently and, to a certain extent, at their own pace.</w:t>
      </w:r>
      <w:r w:rsidR="00973657" w:rsidRPr="00F658E7">
        <w:rPr>
          <w:rFonts w:ascii="Calibri" w:hAnsi="Calibri" w:cs="Calibri"/>
          <w:color w:val="auto"/>
          <w:sz w:val="22"/>
          <w:szCs w:val="22"/>
        </w:rPr>
        <w:t>”</w:t>
      </w:r>
      <w:r w:rsidRPr="00F658E7">
        <w:rPr>
          <w:rFonts w:ascii="Calibri" w:hAnsi="Calibri" w:cs="Calibri"/>
          <w:color w:val="auto"/>
          <w:sz w:val="22"/>
          <w:szCs w:val="22"/>
        </w:rPr>
        <w:t xml:space="preserve"> </w:t>
      </w:r>
      <w:r w:rsidR="009773EC" w:rsidRPr="00F658E7">
        <w:rPr>
          <w:rFonts w:ascii="Calibri" w:hAnsi="Calibri" w:cs="Calibri"/>
          <w:color w:val="auto"/>
          <w:sz w:val="22"/>
          <w:szCs w:val="22"/>
        </w:rPr>
        <w:t>To support this aim and the actions of the DAP we will develop a Communication plan that will tell the stories of our disabled students’ experiences and achievements and follow these students</w:t>
      </w:r>
      <w:r w:rsidR="00591996">
        <w:rPr>
          <w:rFonts w:ascii="Calibri" w:hAnsi="Calibri" w:cs="Calibri"/>
          <w:color w:val="auto"/>
          <w:sz w:val="22"/>
          <w:szCs w:val="22"/>
        </w:rPr>
        <w:t>’</w:t>
      </w:r>
      <w:r w:rsidR="009773EC" w:rsidRPr="00F658E7">
        <w:rPr>
          <w:rFonts w:ascii="Calibri" w:hAnsi="Calibri" w:cs="Calibri"/>
          <w:color w:val="auto"/>
          <w:sz w:val="22"/>
          <w:szCs w:val="22"/>
        </w:rPr>
        <w:t xml:space="preserve"> stories into their ‘post University’ lives by engaging with the Alumni Office and Divisions.</w:t>
      </w:r>
    </w:p>
    <w:p w14:paraId="1AEA780D" w14:textId="19ACB6C3" w:rsidR="005C1C5A" w:rsidRPr="00F658E7" w:rsidRDefault="008C52B7" w:rsidP="0012782C">
      <w:pPr>
        <w:pStyle w:val="Default"/>
        <w:rPr>
          <w:rFonts w:ascii="Calibri" w:hAnsi="Calibri" w:cs="Calibri"/>
          <w:color w:val="auto"/>
          <w:sz w:val="22"/>
          <w:szCs w:val="22"/>
        </w:rPr>
      </w:pPr>
      <w:r w:rsidRPr="00F658E7">
        <w:rPr>
          <w:rFonts w:ascii="Calibri" w:hAnsi="Calibri" w:cs="Calibri"/>
          <w:color w:val="auto"/>
          <w:sz w:val="22"/>
          <w:szCs w:val="22"/>
        </w:rPr>
        <w:t xml:space="preserve">As we </w:t>
      </w:r>
      <w:r w:rsidR="00973657" w:rsidRPr="00F658E7">
        <w:rPr>
          <w:rFonts w:ascii="Calibri" w:hAnsi="Calibri" w:cs="Calibri"/>
          <w:color w:val="auto"/>
          <w:sz w:val="22"/>
          <w:szCs w:val="22"/>
        </w:rPr>
        <w:t xml:space="preserve">also noted in our Learner Success Plan as we </w:t>
      </w:r>
      <w:r w:rsidRPr="00F658E7">
        <w:rPr>
          <w:rFonts w:ascii="Calibri" w:hAnsi="Calibri" w:cs="Calibri"/>
          <w:color w:val="auto"/>
          <w:sz w:val="22"/>
          <w:szCs w:val="22"/>
        </w:rPr>
        <w:t xml:space="preserve">progress our learner success journey over the short and long term we are keen to share information and learnings </w:t>
      </w:r>
      <w:r w:rsidR="00973657" w:rsidRPr="00F658E7">
        <w:rPr>
          <w:rFonts w:ascii="Calibri" w:hAnsi="Calibri" w:cs="Calibri"/>
          <w:color w:val="auto"/>
          <w:sz w:val="22"/>
          <w:szCs w:val="22"/>
        </w:rPr>
        <w:t xml:space="preserve">across the institution as well as with </w:t>
      </w:r>
      <w:r w:rsidRPr="00F658E7">
        <w:rPr>
          <w:rFonts w:ascii="Calibri" w:hAnsi="Calibri" w:cs="Calibri"/>
          <w:color w:val="auto"/>
          <w:sz w:val="22"/>
          <w:szCs w:val="22"/>
        </w:rPr>
        <w:t xml:space="preserve">other tertiary </w:t>
      </w:r>
      <w:r w:rsidR="00973657" w:rsidRPr="00F658E7">
        <w:rPr>
          <w:rFonts w:ascii="Calibri" w:hAnsi="Calibri" w:cs="Calibri"/>
          <w:color w:val="auto"/>
          <w:sz w:val="22"/>
          <w:szCs w:val="22"/>
        </w:rPr>
        <w:t xml:space="preserve">education </w:t>
      </w:r>
      <w:r w:rsidRPr="00F658E7">
        <w:rPr>
          <w:rFonts w:ascii="Calibri" w:hAnsi="Calibri" w:cs="Calibri"/>
          <w:color w:val="auto"/>
          <w:sz w:val="22"/>
          <w:szCs w:val="22"/>
        </w:rPr>
        <w:t xml:space="preserve">providers. </w:t>
      </w:r>
      <w:r w:rsidR="00A742E6" w:rsidRPr="00F658E7">
        <w:rPr>
          <w:rFonts w:ascii="Calibri" w:hAnsi="Calibri" w:cs="Calibri"/>
          <w:color w:val="auto"/>
          <w:sz w:val="22"/>
          <w:szCs w:val="22"/>
        </w:rPr>
        <w:t xml:space="preserve">In creating the Disability Action Plan we have drawn on </w:t>
      </w:r>
      <w:r w:rsidRPr="00F658E7">
        <w:rPr>
          <w:rFonts w:ascii="Calibri" w:hAnsi="Calibri" w:cs="Calibri"/>
          <w:color w:val="auto"/>
          <w:sz w:val="22"/>
          <w:szCs w:val="22"/>
        </w:rPr>
        <w:t>the research and findings of other tertiary institutions internationally as a basis of our plans</w:t>
      </w:r>
      <w:r w:rsidR="00C329C0" w:rsidRPr="00F658E7">
        <w:rPr>
          <w:rFonts w:ascii="Calibri" w:hAnsi="Calibri" w:cs="Calibri"/>
          <w:color w:val="auto"/>
          <w:sz w:val="22"/>
          <w:szCs w:val="22"/>
        </w:rPr>
        <w:t xml:space="preserve"> and </w:t>
      </w:r>
      <w:r w:rsidRPr="00F658E7">
        <w:rPr>
          <w:rFonts w:ascii="Calibri" w:hAnsi="Calibri" w:cs="Calibri"/>
          <w:color w:val="auto"/>
          <w:sz w:val="22"/>
          <w:szCs w:val="22"/>
        </w:rPr>
        <w:t xml:space="preserve">we want in turn to add to </w:t>
      </w:r>
      <w:r w:rsidR="00A742E6" w:rsidRPr="00F658E7">
        <w:rPr>
          <w:rFonts w:ascii="Calibri" w:hAnsi="Calibri" w:cs="Calibri"/>
          <w:color w:val="auto"/>
          <w:sz w:val="22"/>
          <w:szCs w:val="22"/>
        </w:rPr>
        <w:t>scholarly knowledge</w:t>
      </w:r>
      <w:r w:rsidRPr="00F658E7">
        <w:rPr>
          <w:rFonts w:ascii="Calibri" w:hAnsi="Calibri" w:cs="Calibri"/>
          <w:color w:val="auto"/>
          <w:sz w:val="22"/>
          <w:szCs w:val="22"/>
        </w:rPr>
        <w:t xml:space="preserve"> by aiming to author and publish papers, present at key hui, network</w:t>
      </w:r>
      <w:r w:rsidR="00A742E6" w:rsidRPr="00F658E7">
        <w:rPr>
          <w:rFonts w:ascii="Calibri" w:hAnsi="Calibri" w:cs="Calibri"/>
          <w:color w:val="auto"/>
          <w:sz w:val="22"/>
          <w:szCs w:val="22"/>
        </w:rPr>
        <w:t xml:space="preserve">, engage at </w:t>
      </w:r>
      <w:r w:rsidRPr="00F658E7">
        <w:rPr>
          <w:rFonts w:ascii="Calibri" w:hAnsi="Calibri" w:cs="Calibri"/>
          <w:color w:val="auto"/>
          <w:sz w:val="22"/>
          <w:szCs w:val="22"/>
        </w:rPr>
        <w:t xml:space="preserve">strategic meetings of tertiary leaders, share more publicly our web-page with information </w:t>
      </w:r>
      <w:r w:rsidR="00A742E6" w:rsidRPr="00F658E7">
        <w:rPr>
          <w:rFonts w:ascii="Calibri" w:hAnsi="Calibri" w:cs="Calibri"/>
          <w:color w:val="auto"/>
          <w:sz w:val="22"/>
          <w:szCs w:val="22"/>
        </w:rPr>
        <w:t>on our WDSA and initiatives and activities related to disabled lea</w:t>
      </w:r>
      <w:r w:rsidR="00AE1009" w:rsidRPr="00F658E7">
        <w:rPr>
          <w:rFonts w:ascii="Calibri" w:hAnsi="Calibri" w:cs="Calibri"/>
          <w:color w:val="auto"/>
          <w:sz w:val="22"/>
          <w:szCs w:val="22"/>
        </w:rPr>
        <w:t>rner</w:t>
      </w:r>
      <w:r w:rsidRPr="00F658E7">
        <w:rPr>
          <w:rFonts w:ascii="Calibri" w:hAnsi="Calibri" w:cs="Calibri"/>
          <w:color w:val="auto"/>
          <w:sz w:val="22"/>
          <w:szCs w:val="22"/>
        </w:rPr>
        <w:t xml:space="preserve"> and in general, make our journey and findings accessible to others so that we are all able to continuously learn from each other’s experiences.</w:t>
      </w:r>
      <w:r w:rsidR="009773EC" w:rsidRPr="00F658E7">
        <w:rPr>
          <w:rFonts w:ascii="Calibri" w:hAnsi="Calibri" w:cs="Calibri"/>
          <w:color w:val="auto"/>
          <w:sz w:val="22"/>
          <w:szCs w:val="22"/>
        </w:rPr>
        <w:t xml:space="preserve"> </w:t>
      </w:r>
    </w:p>
    <w:p w14:paraId="466BE17F" w14:textId="6BBB52D8" w:rsidR="005C2BB8" w:rsidRPr="00F658E7" w:rsidRDefault="005C2BB8" w:rsidP="0012782C">
      <w:pPr>
        <w:pStyle w:val="Heading1"/>
        <w:spacing w:line="240" w:lineRule="auto"/>
      </w:pPr>
      <w:bookmarkStart w:id="38" w:name="_Toc120609580"/>
      <w:r w:rsidRPr="00F658E7">
        <w:rPr>
          <w:color w:val="auto"/>
        </w:rPr>
        <w:t>8. Future state</w:t>
      </w:r>
      <w:bookmarkEnd w:id="38"/>
    </w:p>
    <w:p w14:paraId="00A12783" w14:textId="6A7F0425" w:rsidR="005C2BB8" w:rsidRPr="00F658E7" w:rsidRDefault="005C2BB8" w:rsidP="0012782C">
      <w:pPr>
        <w:spacing w:after="0" w:line="240" w:lineRule="auto"/>
        <w:rPr>
          <w:rFonts w:ascii="Calibri" w:hAnsi="Calibri" w:cs="Calibri"/>
        </w:rPr>
      </w:pPr>
      <w:r w:rsidRPr="00F658E7">
        <w:rPr>
          <w:rFonts w:ascii="Calibri" w:hAnsi="Calibri" w:cs="Calibri"/>
        </w:rPr>
        <w:t xml:space="preserve">The University is committed to achieving improved outcomes for </w:t>
      </w:r>
      <w:r w:rsidR="002C7FDA">
        <w:rPr>
          <w:rFonts w:ascii="Calibri" w:hAnsi="Calibri" w:cs="Calibri"/>
        </w:rPr>
        <w:t>disabled students.</w:t>
      </w:r>
      <w:r w:rsidRPr="00F658E7">
        <w:rPr>
          <w:rFonts w:ascii="Calibri" w:hAnsi="Calibri" w:cs="Calibri"/>
        </w:rPr>
        <w:t xml:space="preserve"> Alongside the University’s </w:t>
      </w:r>
      <w:proofErr w:type="spellStart"/>
      <w:r w:rsidRPr="00F658E7">
        <w:rPr>
          <w:rFonts w:ascii="Calibri" w:hAnsi="Calibri" w:cs="Calibri"/>
        </w:rPr>
        <w:t>Ōritetanga</w:t>
      </w:r>
      <w:proofErr w:type="spellEnd"/>
      <w:r w:rsidRPr="00F658E7">
        <w:rPr>
          <w:rFonts w:ascii="Calibri" w:hAnsi="Calibri" w:cs="Calibri"/>
        </w:rPr>
        <w:t xml:space="preserve"> programme, the University’s Disability Action Plan is intended to deliver demonstrable improvements in outcomes for </w:t>
      </w:r>
      <w:r w:rsidR="002C7FDA">
        <w:rPr>
          <w:rFonts w:ascii="Calibri" w:hAnsi="Calibri" w:cs="Calibri"/>
        </w:rPr>
        <w:t>disabled students</w:t>
      </w:r>
      <w:r w:rsidRPr="00F658E7">
        <w:rPr>
          <w:rFonts w:ascii="Calibri" w:hAnsi="Calibri" w:cs="Calibri"/>
        </w:rPr>
        <w:t xml:space="preserve"> and to progress closing the gap in performance between students who report a disability and those who don’t.</w:t>
      </w:r>
    </w:p>
    <w:p w14:paraId="26F2C9BD" w14:textId="77777777" w:rsidR="005C2BB8" w:rsidRPr="00F658E7" w:rsidRDefault="005C2BB8" w:rsidP="0012782C">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2540"/>
        <w:gridCol w:w="1033"/>
        <w:gridCol w:w="1033"/>
        <w:gridCol w:w="1033"/>
        <w:gridCol w:w="1033"/>
        <w:gridCol w:w="1033"/>
      </w:tblGrid>
      <w:tr w:rsidR="0088414E" w:rsidRPr="004724B6" w14:paraId="708C9F13" w14:textId="77777777" w:rsidTr="00F658E7">
        <w:tc>
          <w:tcPr>
            <w:tcW w:w="2540" w:type="dxa"/>
          </w:tcPr>
          <w:p w14:paraId="37A234B0" w14:textId="77777777" w:rsidR="005C2BB8" w:rsidRPr="00F658E7" w:rsidRDefault="005C2BB8" w:rsidP="0012782C">
            <w:pPr>
              <w:rPr>
                <w:rFonts w:ascii="Calibri" w:hAnsi="Calibri" w:cs="Calibri"/>
                <w:b/>
                <w:bCs/>
              </w:rPr>
            </w:pPr>
          </w:p>
        </w:tc>
        <w:tc>
          <w:tcPr>
            <w:tcW w:w="1033" w:type="dxa"/>
          </w:tcPr>
          <w:p w14:paraId="466FBFC8" w14:textId="77777777" w:rsidR="005C2BB8" w:rsidRDefault="005C2BB8" w:rsidP="0012782C">
            <w:pPr>
              <w:jc w:val="center"/>
              <w:rPr>
                <w:rFonts w:ascii="Calibri" w:hAnsi="Calibri" w:cs="Calibri"/>
                <w:b/>
                <w:bCs/>
              </w:rPr>
            </w:pPr>
            <w:r w:rsidRPr="00F658E7">
              <w:rPr>
                <w:rFonts w:ascii="Calibri" w:hAnsi="Calibri" w:cs="Calibri"/>
                <w:b/>
                <w:bCs/>
              </w:rPr>
              <w:t>2021</w:t>
            </w:r>
          </w:p>
          <w:p w14:paraId="64CC104A" w14:textId="2F0D04F5" w:rsidR="004724B6" w:rsidRPr="00F658E7" w:rsidRDefault="004724B6" w:rsidP="0012782C">
            <w:pPr>
              <w:jc w:val="center"/>
              <w:rPr>
                <w:rFonts w:ascii="Calibri" w:hAnsi="Calibri" w:cs="Calibri"/>
                <w:b/>
                <w:bCs/>
              </w:rPr>
            </w:pPr>
            <w:r>
              <w:rPr>
                <w:rFonts w:ascii="Calibri" w:hAnsi="Calibri" w:cs="Calibri"/>
                <w:b/>
                <w:bCs/>
              </w:rPr>
              <w:t>actual</w:t>
            </w:r>
          </w:p>
        </w:tc>
        <w:tc>
          <w:tcPr>
            <w:tcW w:w="1033" w:type="dxa"/>
          </w:tcPr>
          <w:p w14:paraId="0399C43F" w14:textId="52317D82" w:rsidR="005C2BB8" w:rsidRPr="00F658E7" w:rsidRDefault="005C2BB8" w:rsidP="0012782C">
            <w:pPr>
              <w:jc w:val="center"/>
              <w:rPr>
                <w:rFonts w:ascii="Calibri" w:hAnsi="Calibri" w:cs="Calibri"/>
                <w:b/>
                <w:bCs/>
              </w:rPr>
            </w:pPr>
            <w:r w:rsidRPr="00F658E7">
              <w:rPr>
                <w:rFonts w:ascii="Calibri" w:hAnsi="Calibri" w:cs="Calibri"/>
                <w:b/>
                <w:bCs/>
              </w:rPr>
              <w:t>2022</w:t>
            </w:r>
            <w:r w:rsidR="0088414E" w:rsidRPr="00F658E7">
              <w:rPr>
                <w:rFonts w:ascii="Calibri" w:hAnsi="Calibri" w:cs="Calibri"/>
                <w:b/>
                <w:bCs/>
              </w:rPr>
              <w:t xml:space="preserve"> (mid-year)</w:t>
            </w:r>
          </w:p>
        </w:tc>
        <w:tc>
          <w:tcPr>
            <w:tcW w:w="1033" w:type="dxa"/>
            <w:shd w:val="clear" w:color="auto" w:fill="D9D9D9" w:themeFill="background1" w:themeFillShade="D9"/>
          </w:tcPr>
          <w:p w14:paraId="4F4B0E8B" w14:textId="77777777" w:rsidR="005C2BB8" w:rsidRPr="00F658E7" w:rsidRDefault="005C2BB8" w:rsidP="0012782C">
            <w:pPr>
              <w:jc w:val="center"/>
              <w:rPr>
                <w:rFonts w:ascii="Calibri" w:hAnsi="Calibri" w:cs="Calibri"/>
                <w:b/>
                <w:bCs/>
              </w:rPr>
            </w:pPr>
            <w:r w:rsidRPr="00F658E7">
              <w:rPr>
                <w:rFonts w:ascii="Calibri" w:hAnsi="Calibri" w:cs="Calibri"/>
                <w:b/>
                <w:bCs/>
              </w:rPr>
              <w:t>2023</w:t>
            </w:r>
          </w:p>
          <w:p w14:paraId="3D0A64CD" w14:textId="3D5F1F34" w:rsidR="004724B6" w:rsidRPr="00F658E7" w:rsidRDefault="004724B6" w:rsidP="0012782C">
            <w:pPr>
              <w:jc w:val="center"/>
              <w:rPr>
                <w:rFonts w:ascii="Calibri" w:hAnsi="Calibri" w:cs="Calibri"/>
                <w:b/>
                <w:bCs/>
              </w:rPr>
            </w:pPr>
            <w:r w:rsidRPr="00F658E7">
              <w:rPr>
                <w:rFonts w:ascii="Calibri" w:hAnsi="Calibri" w:cs="Calibri"/>
                <w:b/>
                <w:bCs/>
              </w:rPr>
              <w:t>Target</w:t>
            </w:r>
          </w:p>
        </w:tc>
        <w:tc>
          <w:tcPr>
            <w:tcW w:w="1033" w:type="dxa"/>
            <w:shd w:val="clear" w:color="auto" w:fill="D9D9D9" w:themeFill="background1" w:themeFillShade="D9"/>
          </w:tcPr>
          <w:p w14:paraId="52C9E3FD" w14:textId="14C2478A" w:rsidR="005C2BB8" w:rsidRPr="00F658E7" w:rsidRDefault="005C2BB8" w:rsidP="0012782C">
            <w:pPr>
              <w:jc w:val="center"/>
              <w:rPr>
                <w:rFonts w:ascii="Calibri" w:hAnsi="Calibri" w:cs="Calibri"/>
                <w:b/>
                <w:bCs/>
              </w:rPr>
            </w:pPr>
            <w:r w:rsidRPr="00F658E7">
              <w:rPr>
                <w:rFonts w:ascii="Calibri" w:hAnsi="Calibri" w:cs="Calibri"/>
                <w:b/>
                <w:bCs/>
              </w:rPr>
              <w:t>2024</w:t>
            </w:r>
            <w:r w:rsidR="004724B6" w:rsidRPr="00F658E7">
              <w:rPr>
                <w:rFonts w:ascii="Calibri" w:hAnsi="Calibri" w:cs="Calibri"/>
                <w:b/>
                <w:bCs/>
              </w:rPr>
              <w:t xml:space="preserve"> Target</w:t>
            </w:r>
          </w:p>
        </w:tc>
        <w:tc>
          <w:tcPr>
            <w:tcW w:w="1033" w:type="dxa"/>
            <w:shd w:val="clear" w:color="auto" w:fill="D9D9D9" w:themeFill="background1" w:themeFillShade="D9"/>
          </w:tcPr>
          <w:p w14:paraId="263C40BF" w14:textId="44A7D154" w:rsidR="005C2BB8" w:rsidRPr="00F658E7" w:rsidRDefault="005C2BB8" w:rsidP="0012782C">
            <w:pPr>
              <w:jc w:val="center"/>
              <w:rPr>
                <w:rFonts w:ascii="Calibri" w:hAnsi="Calibri" w:cs="Calibri"/>
                <w:b/>
                <w:bCs/>
              </w:rPr>
            </w:pPr>
            <w:r w:rsidRPr="00F658E7">
              <w:rPr>
                <w:rFonts w:ascii="Calibri" w:hAnsi="Calibri" w:cs="Calibri"/>
                <w:b/>
                <w:bCs/>
              </w:rPr>
              <w:t>2025</w:t>
            </w:r>
            <w:r w:rsidR="004724B6" w:rsidRPr="00F658E7">
              <w:rPr>
                <w:rFonts w:ascii="Calibri" w:hAnsi="Calibri" w:cs="Calibri"/>
                <w:b/>
                <w:bCs/>
              </w:rPr>
              <w:t xml:space="preserve"> Target</w:t>
            </w:r>
          </w:p>
        </w:tc>
      </w:tr>
      <w:tr w:rsidR="0088414E" w:rsidRPr="00D910F0" w14:paraId="5DABC9E8" w14:textId="77777777" w:rsidTr="00F658E7">
        <w:tc>
          <w:tcPr>
            <w:tcW w:w="2540" w:type="dxa"/>
          </w:tcPr>
          <w:p w14:paraId="5DBF84E0" w14:textId="7CD52177" w:rsidR="005C2BB8" w:rsidRPr="00F658E7" w:rsidRDefault="005C2BB8" w:rsidP="0012782C">
            <w:pPr>
              <w:rPr>
                <w:rFonts w:ascii="Calibri" w:hAnsi="Calibri" w:cs="Calibri"/>
              </w:rPr>
            </w:pPr>
            <w:r w:rsidRPr="00F658E7">
              <w:rPr>
                <w:rFonts w:ascii="Calibri" w:hAnsi="Calibri" w:cs="Calibri"/>
              </w:rPr>
              <w:t>Course completion rate</w:t>
            </w:r>
          </w:p>
        </w:tc>
        <w:tc>
          <w:tcPr>
            <w:tcW w:w="1033" w:type="dxa"/>
          </w:tcPr>
          <w:p w14:paraId="175971A6" w14:textId="0889EB44" w:rsidR="005C2BB8" w:rsidRPr="00F658E7" w:rsidRDefault="0088414E" w:rsidP="0012782C">
            <w:pPr>
              <w:jc w:val="right"/>
              <w:rPr>
                <w:rFonts w:ascii="Calibri" w:hAnsi="Calibri" w:cs="Calibri"/>
              </w:rPr>
            </w:pPr>
            <w:r w:rsidRPr="00F658E7">
              <w:rPr>
                <w:rFonts w:ascii="Calibri" w:hAnsi="Calibri" w:cs="Calibri"/>
              </w:rPr>
              <w:t>77.8%</w:t>
            </w:r>
          </w:p>
        </w:tc>
        <w:tc>
          <w:tcPr>
            <w:tcW w:w="1033" w:type="dxa"/>
          </w:tcPr>
          <w:p w14:paraId="5D69B2D6" w14:textId="209B229D" w:rsidR="005C2BB8" w:rsidRPr="00F658E7" w:rsidRDefault="0088414E" w:rsidP="0012782C">
            <w:pPr>
              <w:jc w:val="right"/>
              <w:rPr>
                <w:rFonts w:ascii="Calibri" w:hAnsi="Calibri" w:cs="Calibri"/>
              </w:rPr>
            </w:pPr>
            <w:r w:rsidRPr="00F658E7">
              <w:rPr>
                <w:rFonts w:ascii="Calibri" w:hAnsi="Calibri" w:cs="Calibri"/>
              </w:rPr>
              <w:t>78.6%</w:t>
            </w:r>
          </w:p>
        </w:tc>
        <w:tc>
          <w:tcPr>
            <w:tcW w:w="1033" w:type="dxa"/>
            <w:shd w:val="clear" w:color="auto" w:fill="D9D9D9" w:themeFill="background1" w:themeFillShade="D9"/>
          </w:tcPr>
          <w:p w14:paraId="3AFEAB29" w14:textId="5C689590" w:rsidR="005C2BB8" w:rsidRPr="00F658E7" w:rsidRDefault="0088414E" w:rsidP="0012782C">
            <w:pPr>
              <w:jc w:val="right"/>
              <w:rPr>
                <w:rFonts w:ascii="Calibri" w:hAnsi="Calibri" w:cs="Calibri"/>
              </w:rPr>
            </w:pPr>
            <w:r w:rsidRPr="00F658E7">
              <w:rPr>
                <w:rFonts w:ascii="Calibri" w:hAnsi="Calibri" w:cs="Calibri"/>
              </w:rPr>
              <w:t>79.5%</w:t>
            </w:r>
          </w:p>
        </w:tc>
        <w:tc>
          <w:tcPr>
            <w:tcW w:w="1033" w:type="dxa"/>
            <w:shd w:val="clear" w:color="auto" w:fill="D9D9D9" w:themeFill="background1" w:themeFillShade="D9"/>
          </w:tcPr>
          <w:p w14:paraId="56F9218E" w14:textId="27CABA40" w:rsidR="005C2BB8" w:rsidRPr="00F658E7" w:rsidRDefault="0088414E" w:rsidP="0012782C">
            <w:pPr>
              <w:jc w:val="right"/>
              <w:rPr>
                <w:rFonts w:ascii="Calibri" w:hAnsi="Calibri" w:cs="Calibri"/>
              </w:rPr>
            </w:pPr>
            <w:r w:rsidRPr="00F658E7">
              <w:rPr>
                <w:rFonts w:ascii="Calibri" w:hAnsi="Calibri" w:cs="Calibri"/>
              </w:rPr>
              <w:t>81.5%</w:t>
            </w:r>
          </w:p>
        </w:tc>
        <w:tc>
          <w:tcPr>
            <w:tcW w:w="1033" w:type="dxa"/>
            <w:shd w:val="clear" w:color="auto" w:fill="D9D9D9" w:themeFill="background1" w:themeFillShade="D9"/>
          </w:tcPr>
          <w:p w14:paraId="2E892060" w14:textId="363DC833" w:rsidR="005C2BB8" w:rsidRPr="00F658E7" w:rsidRDefault="0088414E" w:rsidP="0012782C">
            <w:pPr>
              <w:jc w:val="right"/>
              <w:rPr>
                <w:rFonts w:ascii="Calibri" w:hAnsi="Calibri" w:cs="Calibri"/>
              </w:rPr>
            </w:pPr>
            <w:r w:rsidRPr="00F658E7">
              <w:rPr>
                <w:rFonts w:ascii="Calibri" w:hAnsi="Calibri" w:cs="Calibri"/>
              </w:rPr>
              <w:t>83.0%</w:t>
            </w:r>
          </w:p>
        </w:tc>
      </w:tr>
      <w:tr w:rsidR="0088414E" w:rsidRPr="00D910F0" w14:paraId="244735B8" w14:textId="77777777" w:rsidTr="00F658E7">
        <w:tc>
          <w:tcPr>
            <w:tcW w:w="2540" w:type="dxa"/>
          </w:tcPr>
          <w:p w14:paraId="226DAA9D" w14:textId="0750FE4A" w:rsidR="005C2BB8" w:rsidRPr="00F658E7" w:rsidRDefault="0088414E" w:rsidP="0012782C">
            <w:pPr>
              <w:rPr>
                <w:rFonts w:ascii="Calibri" w:hAnsi="Calibri" w:cs="Calibri"/>
              </w:rPr>
            </w:pPr>
            <w:r w:rsidRPr="00F658E7">
              <w:rPr>
                <w:rFonts w:ascii="Calibri" w:hAnsi="Calibri" w:cs="Calibri"/>
              </w:rPr>
              <w:t>First year retention</w:t>
            </w:r>
          </w:p>
        </w:tc>
        <w:tc>
          <w:tcPr>
            <w:tcW w:w="1033" w:type="dxa"/>
          </w:tcPr>
          <w:p w14:paraId="64372100" w14:textId="2257DD9B" w:rsidR="005C2BB8" w:rsidRPr="00F658E7" w:rsidRDefault="004724B6" w:rsidP="0012782C">
            <w:pPr>
              <w:jc w:val="right"/>
              <w:rPr>
                <w:rFonts w:ascii="Calibri" w:hAnsi="Calibri" w:cs="Calibri"/>
              </w:rPr>
            </w:pPr>
            <w:r w:rsidRPr="00F658E7">
              <w:rPr>
                <w:rFonts w:ascii="Calibri" w:hAnsi="Calibri" w:cs="Calibri"/>
              </w:rPr>
              <w:t>70.4</w:t>
            </w:r>
            <w:r>
              <w:rPr>
                <w:rFonts w:ascii="Calibri" w:hAnsi="Calibri" w:cs="Calibri"/>
              </w:rPr>
              <w:t>%</w:t>
            </w:r>
          </w:p>
        </w:tc>
        <w:tc>
          <w:tcPr>
            <w:tcW w:w="1033" w:type="dxa"/>
          </w:tcPr>
          <w:p w14:paraId="31F9E048" w14:textId="6D3BC6CE" w:rsidR="005C2BB8" w:rsidRPr="00F658E7" w:rsidRDefault="004724B6" w:rsidP="0012782C">
            <w:pPr>
              <w:jc w:val="right"/>
              <w:rPr>
                <w:rFonts w:ascii="Calibri" w:hAnsi="Calibri" w:cs="Calibri"/>
              </w:rPr>
            </w:pPr>
            <w:r w:rsidRPr="00F658E7">
              <w:rPr>
                <w:rFonts w:ascii="Calibri" w:hAnsi="Calibri" w:cs="Calibri"/>
              </w:rPr>
              <w:t>TBC</w:t>
            </w:r>
          </w:p>
        </w:tc>
        <w:tc>
          <w:tcPr>
            <w:tcW w:w="1033" w:type="dxa"/>
            <w:shd w:val="clear" w:color="auto" w:fill="D9D9D9" w:themeFill="background1" w:themeFillShade="D9"/>
          </w:tcPr>
          <w:p w14:paraId="5A1DF77B" w14:textId="70634D89" w:rsidR="005C2BB8" w:rsidRPr="00F658E7" w:rsidRDefault="0088414E" w:rsidP="0012782C">
            <w:pPr>
              <w:jc w:val="right"/>
              <w:rPr>
                <w:rFonts w:ascii="Calibri" w:hAnsi="Calibri" w:cs="Calibri"/>
              </w:rPr>
            </w:pPr>
            <w:r w:rsidRPr="00F658E7">
              <w:rPr>
                <w:rFonts w:ascii="Calibri" w:hAnsi="Calibri" w:cs="Calibri"/>
              </w:rPr>
              <w:t>71.5%</w:t>
            </w:r>
          </w:p>
        </w:tc>
        <w:tc>
          <w:tcPr>
            <w:tcW w:w="1033" w:type="dxa"/>
            <w:shd w:val="clear" w:color="auto" w:fill="D9D9D9" w:themeFill="background1" w:themeFillShade="D9"/>
          </w:tcPr>
          <w:p w14:paraId="4AAC14E8" w14:textId="0389C239" w:rsidR="005C2BB8" w:rsidRPr="00F658E7" w:rsidRDefault="0088414E" w:rsidP="0012782C">
            <w:pPr>
              <w:jc w:val="right"/>
              <w:rPr>
                <w:rFonts w:ascii="Calibri" w:hAnsi="Calibri" w:cs="Calibri"/>
              </w:rPr>
            </w:pPr>
            <w:r w:rsidRPr="00F658E7">
              <w:rPr>
                <w:rFonts w:ascii="Calibri" w:hAnsi="Calibri" w:cs="Calibri"/>
              </w:rPr>
              <w:t>72.5%</w:t>
            </w:r>
          </w:p>
        </w:tc>
        <w:tc>
          <w:tcPr>
            <w:tcW w:w="1033" w:type="dxa"/>
            <w:shd w:val="clear" w:color="auto" w:fill="D9D9D9" w:themeFill="background1" w:themeFillShade="D9"/>
          </w:tcPr>
          <w:p w14:paraId="46AADF59" w14:textId="099166AC" w:rsidR="005C2BB8" w:rsidRPr="00F658E7" w:rsidRDefault="0088414E" w:rsidP="0012782C">
            <w:pPr>
              <w:jc w:val="right"/>
              <w:rPr>
                <w:rFonts w:ascii="Calibri" w:hAnsi="Calibri" w:cs="Calibri"/>
              </w:rPr>
            </w:pPr>
            <w:r w:rsidRPr="00F658E7">
              <w:rPr>
                <w:rFonts w:ascii="Calibri" w:hAnsi="Calibri" w:cs="Calibri"/>
              </w:rPr>
              <w:t>73.0%</w:t>
            </w:r>
          </w:p>
        </w:tc>
      </w:tr>
      <w:tr w:rsidR="00665B84" w:rsidRPr="00D910F0" w14:paraId="7004147E" w14:textId="77777777" w:rsidTr="00F658E7">
        <w:tc>
          <w:tcPr>
            <w:tcW w:w="2540" w:type="dxa"/>
          </w:tcPr>
          <w:p w14:paraId="38E08BCA" w14:textId="74A1FD9D" w:rsidR="00665B84" w:rsidRPr="00F22E21" w:rsidRDefault="00665B84" w:rsidP="0012782C">
            <w:pPr>
              <w:rPr>
                <w:rFonts w:ascii="Calibri" w:hAnsi="Calibri" w:cs="Calibri"/>
              </w:rPr>
            </w:pPr>
            <w:r>
              <w:rPr>
                <w:rFonts w:ascii="Calibri" w:hAnsi="Calibri" w:cs="Calibri"/>
              </w:rPr>
              <w:t>Proportion of students reporting a disability who are registered with Accessibility Services</w:t>
            </w:r>
          </w:p>
        </w:tc>
        <w:tc>
          <w:tcPr>
            <w:tcW w:w="1033" w:type="dxa"/>
          </w:tcPr>
          <w:p w14:paraId="195F9E73" w14:textId="3869A048" w:rsidR="00665B84" w:rsidRPr="00F22E21" w:rsidRDefault="00665B84" w:rsidP="0012782C">
            <w:pPr>
              <w:jc w:val="right"/>
              <w:rPr>
                <w:rFonts w:ascii="Calibri" w:hAnsi="Calibri" w:cs="Calibri"/>
              </w:rPr>
            </w:pPr>
            <w:r>
              <w:rPr>
                <w:rFonts w:ascii="Calibri" w:hAnsi="Calibri" w:cs="Calibri"/>
              </w:rPr>
              <w:t>32.0%</w:t>
            </w:r>
          </w:p>
        </w:tc>
        <w:tc>
          <w:tcPr>
            <w:tcW w:w="1033" w:type="dxa"/>
          </w:tcPr>
          <w:p w14:paraId="044E61FF" w14:textId="77F49355" w:rsidR="00665B84" w:rsidRPr="00F22E21" w:rsidRDefault="00665B84" w:rsidP="0012782C">
            <w:pPr>
              <w:jc w:val="right"/>
              <w:rPr>
                <w:rFonts w:ascii="Calibri" w:hAnsi="Calibri" w:cs="Calibri"/>
              </w:rPr>
            </w:pPr>
            <w:r>
              <w:rPr>
                <w:rFonts w:ascii="Calibri" w:hAnsi="Calibri" w:cs="Calibri"/>
              </w:rPr>
              <w:t>30.1%</w:t>
            </w:r>
          </w:p>
        </w:tc>
        <w:tc>
          <w:tcPr>
            <w:tcW w:w="1033" w:type="dxa"/>
            <w:shd w:val="clear" w:color="auto" w:fill="D9D9D9" w:themeFill="background1" w:themeFillShade="D9"/>
          </w:tcPr>
          <w:p w14:paraId="4E121A4D" w14:textId="4E1ED0EE" w:rsidR="00665B84" w:rsidRPr="00F22E21" w:rsidRDefault="00665B84" w:rsidP="0012782C">
            <w:pPr>
              <w:jc w:val="right"/>
              <w:rPr>
                <w:rFonts w:ascii="Calibri" w:hAnsi="Calibri" w:cs="Calibri"/>
              </w:rPr>
            </w:pPr>
            <w:r>
              <w:rPr>
                <w:rFonts w:ascii="Calibri" w:hAnsi="Calibri" w:cs="Calibri"/>
              </w:rPr>
              <w:t>34.0%</w:t>
            </w:r>
          </w:p>
        </w:tc>
        <w:tc>
          <w:tcPr>
            <w:tcW w:w="1033" w:type="dxa"/>
            <w:shd w:val="clear" w:color="auto" w:fill="D9D9D9" w:themeFill="background1" w:themeFillShade="D9"/>
          </w:tcPr>
          <w:p w14:paraId="2787CB53" w14:textId="3C23E90E" w:rsidR="00665B84" w:rsidRPr="00F22E21" w:rsidRDefault="00665B84" w:rsidP="0012782C">
            <w:pPr>
              <w:jc w:val="right"/>
              <w:rPr>
                <w:rFonts w:ascii="Calibri" w:hAnsi="Calibri" w:cs="Calibri"/>
              </w:rPr>
            </w:pPr>
            <w:r>
              <w:rPr>
                <w:rFonts w:ascii="Calibri" w:hAnsi="Calibri" w:cs="Calibri"/>
              </w:rPr>
              <w:t>36.0%</w:t>
            </w:r>
          </w:p>
        </w:tc>
        <w:tc>
          <w:tcPr>
            <w:tcW w:w="1033" w:type="dxa"/>
            <w:shd w:val="clear" w:color="auto" w:fill="D9D9D9" w:themeFill="background1" w:themeFillShade="D9"/>
          </w:tcPr>
          <w:p w14:paraId="1F8FF058" w14:textId="002D1486" w:rsidR="00665B84" w:rsidRPr="00F22E21" w:rsidRDefault="00665B84" w:rsidP="0012782C">
            <w:pPr>
              <w:jc w:val="right"/>
              <w:rPr>
                <w:rFonts w:ascii="Calibri" w:hAnsi="Calibri" w:cs="Calibri"/>
              </w:rPr>
            </w:pPr>
            <w:r>
              <w:rPr>
                <w:rFonts w:ascii="Calibri" w:hAnsi="Calibri" w:cs="Calibri"/>
              </w:rPr>
              <w:t>38.0%</w:t>
            </w:r>
          </w:p>
        </w:tc>
      </w:tr>
    </w:tbl>
    <w:p w14:paraId="0C662228" w14:textId="4C0CED27" w:rsidR="005C2BB8" w:rsidRPr="00665B84" w:rsidRDefault="005C2BB8" w:rsidP="0012782C">
      <w:pPr>
        <w:spacing w:after="0" w:line="240" w:lineRule="auto"/>
        <w:rPr>
          <w:rFonts w:ascii="Calibri" w:hAnsi="Calibri" w:cs="Calibri"/>
          <w:sz w:val="56"/>
          <w:szCs w:val="56"/>
        </w:rPr>
      </w:pPr>
      <w:r w:rsidRPr="00665B84">
        <w:rPr>
          <w:rFonts w:ascii="Calibri" w:hAnsi="Calibri" w:cs="Calibri"/>
          <w:sz w:val="56"/>
          <w:szCs w:val="56"/>
        </w:rPr>
        <w:t xml:space="preserve"> </w:t>
      </w:r>
    </w:p>
    <w:sectPr w:rsidR="005C2BB8" w:rsidRPr="00665B84" w:rsidSect="00CA0992">
      <w:footerReference w:type="default" r:id="rId2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169B5" w14:textId="77777777" w:rsidR="00F300B2" w:rsidRDefault="00F300B2" w:rsidP="004E0C06">
      <w:pPr>
        <w:spacing w:after="0" w:line="240" w:lineRule="auto"/>
      </w:pPr>
      <w:r>
        <w:separator/>
      </w:r>
    </w:p>
  </w:endnote>
  <w:endnote w:type="continuationSeparator" w:id="0">
    <w:p w14:paraId="03479DE0" w14:textId="77777777" w:rsidR="00F300B2" w:rsidRDefault="00F300B2" w:rsidP="004E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143698"/>
      <w:docPartObj>
        <w:docPartGallery w:val="Page Numbers (Bottom of Page)"/>
        <w:docPartUnique/>
      </w:docPartObj>
    </w:sdtPr>
    <w:sdtEndPr>
      <w:rPr>
        <w:noProof/>
      </w:rPr>
    </w:sdtEndPr>
    <w:sdtContent>
      <w:p w14:paraId="49CDDB40" w14:textId="1AABF441" w:rsidR="000332B0" w:rsidRDefault="000332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E469B3" w14:textId="77777777" w:rsidR="000332B0" w:rsidRDefault="00033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BB8C7" w14:textId="77777777" w:rsidR="00F300B2" w:rsidRDefault="00F300B2" w:rsidP="004E0C06">
      <w:pPr>
        <w:spacing w:after="0" w:line="240" w:lineRule="auto"/>
      </w:pPr>
      <w:r>
        <w:separator/>
      </w:r>
    </w:p>
  </w:footnote>
  <w:footnote w:type="continuationSeparator" w:id="0">
    <w:p w14:paraId="7DA55666" w14:textId="77777777" w:rsidR="00F300B2" w:rsidRDefault="00F300B2" w:rsidP="004E0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22C7"/>
    <w:multiLevelType w:val="hybridMultilevel"/>
    <w:tmpl w:val="13087E44"/>
    <w:lvl w:ilvl="0" w:tplc="9D927000">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6F609C"/>
    <w:multiLevelType w:val="multilevel"/>
    <w:tmpl w:val="2D82634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A72EDD"/>
    <w:multiLevelType w:val="hybridMultilevel"/>
    <w:tmpl w:val="21F05B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EF3E7C"/>
    <w:multiLevelType w:val="hybridMultilevel"/>
    <w:tmpl w:val="CDBC1BF2"/>
    <w:lvl w:ilvl="0" w:tplc="F31AB0DA">
      <w:numFmt w:val="bullet"/>
      <w:lvlText w:val="•"/>
      <w:lvlJc w:val="left"/>
      <w:pPr>
        <w:ind w:left="720" w:hanging="360"/>
      </w:pPr>
      <w:rPr>
        <w:rFonts w:ascii="Calibri" w:eastAsiaTheme="minorEastAsia" w:hAnsi="Calibri" w:cs="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4C97E87"/>
    <w:multiLevelType w:val="hybridMultilevel"/>
    <w:tmpl w:val="8F4CE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3140C9"/>
    <w:multiLevelType w:val="hybridMultilevel"/>
    <w:tmpl w:val="5B505E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027775F"/>
    <w:multiLevelType w:val="hybridMultilevel"/>
    <w:tmpl w:val="5472F6E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CF00927"/>
    <w:multiLevelType w:val="hybridMultilevel"/>
    <w:tmpl w:val="3E48D3C4"/>
    <w:lvl w:ilvl="0" w:tplc="F31AB0DA">
      <w:numFmt w:val="bullet"/>
      <w:lvlText w:val="•"/>
      <w:lvlJc w:val="left"/>
      <w:pPr>
        <w:ind w:left="720" w:hanging="360"/>
      </w:pPr>
      <w:rPr>
        <w:rFonts w:ascii="Calibri" w:eastAsiaTheme="minorEastAsia" w:hAnsi="Calibri" w:cs="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F584A16"/>
    <w:multiLevelType w:val="hybridMultilevel"/>
    <w:tmpl w:val="D92868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4844CB7"/>
    <w:multiLevelType w:val="hybridMultilevel"/>
    <w:tmpl w:val="75F80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739254D"/>
    <w:multiLevelType w:val="hybridMultilevel"/>
    <w:tmpl w:val="9124BFCA"/>
    <w:lvl w:ilvl="0" w:tplc="C8E47374">
      <w:start w:val="1"/>
      <w:numFmt w:val="bullet"/>
      <w:lvlText w:val=""/>
      <w:lvlJc w:val="left"/>
      <w:pPr>
        <w:ind w:left="720" w:hanging="360"/>
      </w:pPr>
      <w:rPr>
        <w:rFonts w:ascii="Symbol" w:hAnsi="Symbol" w:cs="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FAF3B60"/>
    <w:multiLevelType w:val="hybridMultilevel"/>
    <w:tmpl w:val="0532ADAE"/>
    <w:lvl w:ilvl="0" w:tplc="C8E47374">
      <w:start w:val="1"/>
      <w:numFmt w:val="bullet"/>
      <w:lvlText w:val=""/>
      <w:lvlJc w:val="left"/>
      <w:pPr>
        <w:ind w:left="720" w:hanging="360"/>
      </w:pPr>
      <w:rPr>
        <w:rFonts w:ascii="Symbol" w:hAnsi="Symbol" w:cs="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1A97508"/>
    <w:multiLevelType w:val="hybridMultilevel"/>
    <w:tmpl w:val="F196A09A"/>
    <w:lvl w:ilvl="0" w:tplc="F31AB0DA">
      <w:numFmt w:val="bullet"/>
      <w:lvlText w:val="•"/>
      <w:lvlJc w:val="left"/>
      <w:pPr>
        <w:ind w:left="720" w:hanging="360"/>
      </w:pPr>
      <w:rPr>
        <w:rFonts w:ascii="Calibri" w:eastAsiaTheme="minorEastAsia" w:hAnsi="Calibri" w:cs="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B424B08"/>
    <w:multiLevelType w:val="hybridMultilevel"/>
    <w:tmpl w:val="84C86332"/>
    <w:lvl w:ilvl="0" w:tplc="C8E47374">
      <w:start w:val="1"/>
      <w:numFmt w:val="bullet"/>
      <w:lvlText w:val=""/>
      <w:lvlJc w:val="left"/>
      <w:pPr>
        <w:ind w:left="720" w:hanging="360"/>
      </w:pPr>
      <w:rPr>
        <w:rFonts w:ascii="Symbol" w:hAnsi="Symbol" w:cs="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26E5CA0"/>
    <w:multiLevelType w:val="hybridMultilevel"/>
    <w:tmpl w:val="5956C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9A53123"/>
    <w:multiLevelType w:val="multilevel"/>
    <w:tmpl w:val="7CB6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845AB2"/>
    <w:multiLevelType w:val="multilevel"/>
    <w:tmpl w:val="4358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7447B0"/>
    <w:multiLevelType w:val="hybridMultilevel"/>
    <w:tmpl w:val="CBEE1CCA"/>
    <w:lvl w:ilvl="0" w:tplc="B23C14BC">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4"/>
  </w:num>
  <w:num w:numId="4">
    <w:abstractNumId w:val="2"/>
  </w:num>
  <w:num w:numId="5">
    <w:abstractNumId w:val="5"/>
  </w:num>
  <w:num w:numId="6">
    <w:abstractNumId w:val="11"/>
  </w:num>
  <w:num w:numId="7">
    <w:abstractNumId w:val="10"/>
  </w:num>
  <w:num w:numId="8">
    <w:abstractNumId w:val="17"/>
  </w:num>
  <w:num w:numId="9">
    <w:abstractNumId w:val="14"/>
  </w:num>
  <w:num w:numId="10">
    <w:abstractNumId w:val="8"/>
  </w:num>
  <w:num w:numId="11">
    <w:abstractNumId w:val="6"/>
  </w:num>
  <w:num w:numId="12">
    <w:abstractNumId w:val="9"/>
  </w:num>
  <w:num w:numId="13">
    <w:abstractNumId w:val="7"/>
  </w:num>
  <w:num w:numId="14">
    <w:abstractNumId w:val="12"/>
  </w:num>
  <w:num w:numId="15">
    <w:abstractNumId w:val="3"/>
  </w:num>
  <w:num w:numId="16">
    <w:abstractNumId w:val="13"/>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0A6"/>
    <w:rsid w:val="00013741"/>
    <w:rsid w:val="00013FDC"/>
    <w:rsid w:val="00032B43"/>
    <w:rsid w:val="000332B0"/>
    <w:rsid w:val="00035815"/>
    <w:rsid w:val="00046DD6"/>
    <w:rsid w:val="000534F3"/>
    <w:rsid w:val="000564AD"/>
    <w:rsid w:val="00061E98"/>
    <w:rsid w:val="000624C4"/>
    <w:rsid w:val="00067EA9"/>
    <w:rsid w:val="00077983"/>
    <w:rsid w:val="00084245"/>
    <w:rsid w:val="00087C60"/>
    <w:rsid w:val="000914A4"/>
    <w:rsid w:val="000A3259"/>
    <w:rsid w:val="000A6190"/>
    <w:rsid w:val="000C4600"/>
    <w:rsid w:val="000D2CD9"/>
    <w:rsid w:val="000D2FE1"/>
    <w:rsid w:val="000D64EC"/>
    <w:rsid w:val="000E2EB6"/>
    <w:rsid w:val="000F1994"/>
    <w:rsid w:val="0011047A"/>
    <w:rsid w:val="0012782C"/>
    <w:rsid w:val="00131248"/>
    <w:rsid w:val="00131A87"/>
    <w:rsid w:val="00135F48"/>
    <w:rsid w:val="00136A28"/>
    <w:rsid w:val="00137078"/>
    <w:rsid w:val="0014031A"/>
    <w:rsid w:val="00142492"/>
    <w:rsid w:val="0014559A"/>
    <w:rsid w:val="00157D5C"/>
    <w:rsid w:val="00175BB1"/>
    <w:rsid w:val="0018380D"/>
    <w:rsid w:val="00187192"/>
    <w:rsid w:val="0019306E"/>
    <w:rsid w:val="0019323C"/>
    <w:rsid w:val="001B2BC2"/>
    <w:rsid w:val="001C48A4"/>
    <w:rsid w:val="001D796F"/>
    <w:rsid w:val="001E12DF"/>
    <w:rsid w:val="001F2A2F"/>
    <w:rsid w:val="001F4E43"/>
    <w:rsid w:val="002011D0"/>
    <w:rsid w:val="0020537B"/>
    <w:rsid w:val="00212213"/>
    <w:rsid w:val="00213608"/>
    <w:rsid w:val="002157E2"/>
    <w:rsid w:val="00216FDB"/>
    <w:rsid w:val="00233AF9"/>
    <w:rsid w:val="00242B06"/>
    <w:rsid w:val="00244255"/>
    <w:rsid w:val="00246F31"/>
    <w:rsid w:val="00267A1B"/>
    <w:rsid w:val="00276E91"/>
    <w:rsid w:val="0028039B"/>
    <w:rsid w:val="00282EB9"/>
    <w:rsid w:val="00293F66"/>
    <w:rsid w:val="002A101F"/>
    <w:rsid w:val="002A3E09"/>
    <w:rsid w:val="002A7194"/>
    <w:rsid w:val="002B5E99"/>
    <w:rsid w:val="002C7FDA"/>
    <w:rsid w:val="002E125F"/>
    <w:rsid w:val="002E160F"/>
    <w:rsid w:val="002F57E1"/>
    <w:rsid w:val="002F63C5"/>
    <w:rsid w:val="00300CB4"/>
    <w:rsid w:val="0030125A"/>
    <w:rsid w:val="00311E4F"/>
    <w:rsid w:val="0031510F"/>
    <w:rsid w:val="00321D99"/>
    <w:rsid w:val="00322720"/>
    <w:rsid w:val="00333CD4"/>
    <w:rsid w:val="00342BD3"/>
    <w:rsid w:val="00344A7A"/>
    <w:rsid w:val="00376612"/>
    <w:rsid w:val="0037768F"/>
    <w:rsid w:val="00380D7C"/>
    <w:rsid w:val="00382528"/>
    <w:rsid w:val="0038468A"/>
    <w:rsid w:val="00385F9B"/>
    <w:rsid w:val="0038743B"/>
    <w:rsid w:val="003948C4"/>
    <w:rsid w:val="003B3A90"/>
    <w:rsid w:val="003C08CA"/>
    <w:rsid w:val="003C198A"/>
    <w:rsid w:val="003C39FA"/>
    <w:rsid w:val="003C5678"/>
    <w:rsid w:val="003D1988"/>
    <w:rsid w:val="003D2F21"/>
    <w:rsid w:val="003D6E5E"/>
    <w:rsid w:val="003E749A"/>
    <w:rsid w:val="003F7F19"/>
    <w:rsid w:val="00411A8F"/>
    <w:rsid w:val="004147CE"/>
    <w:rsid w:val="004153D3"/>
    <w:rsid w:val="00430842"/>
    <w:rsid w:val="00430EF7"/>
    <w:rsid w:val="0043775C"/>
    <w:rsid w:val="00440053"/>
    <w:rsid w:val="00444B86"/>
    <w:rsid w:val="00452FF0"/>
    <w:rsid w:val="004547A7"/>
    <w:rsid w:val="004620A6"/>
    <w:rsid w:val="00462346"/>
    <w:rsid w:val="004724B6"/>
    <w:rsid w:val="0048013D"/>
    <w:rsid w:val="004813E7"/>
    <w:rsid w:val="00495834"/>
    <w:rsid w:val="00496FD3"/>
    <w:rsid w:val="004A1925"/>
    <w:rsid w:val="004A7B98"/>
    <w:rsid w:val="004B0219"/>
    <w:rsid w:val="004B07CF"/>
    <w:rsid w:val="004D7069"/>
    <w:rsid w:val="004E0C06"/>
    <w:rsid w:val="004E5D9F"/>
    <w:rsid w:val="004F3D7E"/>
    <w:rsid w:val="0050241A"/>
    <w:rsid w:val="00504F80"/>
    <w:rsid w:val="005118AA"/>
    <w:rsid w:val="00517BB9"/>
    <w:rsid w:val="005215DE"/>
    <w:rsid w:val="00523ADB"/>
    <w:rsid w:val="00540AA9"/>
    <w:rsid w:val="0054120E"/>
    <w:rsid w:val="00550D75"/>
    <w:rsid w:val="0055167C"/>
    <w:rsid w:val="00573BF6"/>
    <w:rsid w:val="00581897"/>
    <w:rsid w:val="00591996"/>
    <w:rsid w:val="00591AED"/>
    <w:rsid w:val="00596D48"/>
    <w:rsid w:val="005970A5"/>
    <w:rsid w:val="005B3BE4"/>
    <w:rsid w:val="005B4978"/>
    <w:rsid w:val="005C1C5A"/>
    <w:rsid w:val="005C2BB8"/>
    <w:rsid w:val="005D020F"/>
    <w:rsid w:val="005D32AC"/>
    <w:rsid w:val="005D372B"/>
    <w:rsid w:val="005D4C5D"/>
    <w:rsid w:val="005D6735"/>
    <w:rsid w:val="005F4D40"/>
    <w:rsid w:val="00604D21"/>
    <w:rsid w:val="00612035"/>
    <w:rsid w:val="00612FAD"/>
    <w:rsid w:val="006170EA"/>
    <w:rsid w:val="00620E26"/>
    <w:rsid w:val="0062115A"/>
    <w:rsid w:val="00622BD7"/>
    <w:rsid w:val="00624257"/>
    <w:rsid w:val="006322D9"/>
    <w:rsid w:val="006350E5"/>
    <w:rsid w:val="00640FBE"/>
    <w:rsid w:val="00644DCB"/>
    <w:rsid w:val="006459AD"/>
    <w:rsid w:val="00654071"/>
    <w:rsid w:val="006554A0"/>
    <w:rsid w:val="00665038"/>
    <w:rsid w:val="00665B84"/>
    <w:rsid w:val="00666B7A"/>
    <w:rsid w:val="00670A0D"/>
    <w:rsid w:val="00681C15"/>
    <w:rsid w:val="00682E0B"/>
    <w:rsid w:val="00684AAC"/>
    <w:rsid w:val="006A0612"/>
    <w:rsid w:val="006A32B7"/>
    <w:rsid w:val="006B29F4"/>
    <w:rsid w:val="006B77AB"/>
    <w:rsid w:val="006C021B"/>
    <w:rsid w:val="006C684E"/>
    <w:rsid w:val="006D2546"/>
    <w:rsid w:val="006D3EFE"/>
    <w:rsid w:val="006D3F8B"/>
    <w:rsid w:val="006E010B"/>
    <w:rsid w:val="006E6759"/>
    <w:rsid w:val="006E7D82"/>
    <w:rsid w:val="006F12B8"/>
    <w:rsid w:val="006F7DA6"/>
    <w:rsid w:val="00700658"/>
    <w:rsid w:val="00701B8C"/>
    <w:rsid w:val="0070285A"/>
    <w:rsid w:val="007200B4"/>
    <w:rsid w:val="00723301"/>
    <w:rsid w:val="0073366E"/>
    <w:rsid w:val="007466DA"/>
    <w:rsid w:val="007538B0"/>
    <w:rsid w:val="00772A8C"/>
    <w:rsid w:val="00786FF2"/>
    <w:rsid w:val="0079259B"/>
    <w:rsid w:val="00797BDF"/>
    <w:rsid w:val="007A5B9C"/>
    <w:rsid w:val="007A72C9"/>
    <w:rsid w:val="007B08B5"/>
    <w:rsid w:val="007B366C"/>
    <w:rsid w:val="007B385A"/>
    <w:rsid w:val="007B6C71"/>
    <w:rsid w:val="007C1332"/>
    <w:rsid w:val="007D6DF7"/>
    <w:rsid w:val="007E6C8D"/>
    <w:rsid w:val="00800776"/>
    <w:rsid w:val="008010DB"/>
    <w:rsid w:val="00804BDD"/>
    <w:rsid w:val="008051D2"/>
    <w:rsid w:val="00810A5A"/>
    <w:rsid w:val="00811B0D"/>
    <w:rsid w:val="00827A12"/>
    <w:rsid w:val="0083199B"/>
    <w:rsid w:val="00831BE4"/>
    <w:rsid w:val="00832CA7"/>
    <w:rsid w:val="0084021C"/>
    <w:rsid w:val="00842D23"/>
    <w:rsid w:val="008434F4"/>
    <w:rsid w:val="00845362"/>
    <w:rsid w:val="00846A54"/>
    <w:rsid w:val="00852403"/>
    <w:rsid w:val="0085555D"/>
    <w:rsid w:val="00855D07"/>
    <w:rsid w:val="00857A4E"/>
    <w:rsid w:val="00866AC1"/>
    <w:rsid w:val="00873B9C"/>
    <w:rsid w:val="00875331"/>
    <w:rsid w:val="00876C65"/>
    <w:rsid w:val="0088414E"/>
    <w:rsid w:val="00890700"/>
    <w:rsid w:val="0089369E"/>
    <w:rsid w:val="008A23C7"/>
    <w:rsid w:val="008B3BFC"/>
    <w:rsid w:val="008C52B7"/>
    <w:rsid w:val="008D1FAC"/>
    <w:rsid w:val="008D2B8C"/>
    <w:rsid w:val="008D2EE5"/>
    <w:rsid w:val="008E1E22"/>
    <w:rsid w:val="008E5DA2"/>
    <w:rsid w:val="008E6338"/>
    <w:rsid w:val="008E6513"/>
    <w:rsid w:val="008F36CC"/>
    <w:rsid w:val="00900B94"/>
    <w:rsid w:val="00902959"/>
    <w:rsid w:val="00906E5D"/>
    <w:rsid w:val="00910893"/>
    <w:rsid w:val="00911E18"/>
    <w:rsid w:val="009161EC"/>
    <w:rsid w:val="00920464"/>
    <w:rsid w:val="009232D3"/>
    <w:rsid w:val="00930EF1"/>
    <w:rsid w:val="00933691"/>
    <w:rsid w:val="00934758"/>
    <w:rsid w:val="00934FFE"/>
    <w:rsid w:val="009409C0"/>
    <w:rsid w:val="00942514"/>
    <w:rsid w:val="00963236"/>
    <w:rsid w:val="00973657"/>
    <w:rsid w:val="00976942"/>
    <w:rsid w:val="009773EC"/>
    <w:rsid w:val="00983945"/>
    <w:rsid w:val="00997954"/>
    <w:rsid w:val="009B1725"/>
    <w:rsid w:val="009B293C"/>
    <w:rsid w:val="009C1A15"/>
    <w:rsid w:val="009D25DB"/>
    <w:rsid w:val="009E351C"/>
    <w:rsid w:val="009E6BA9"/>
    <w:rsid w:val="009F2B55"/>
    <w:rsid w:val="009F42C9"/>
    <w:rsid w:val="009F4533"/>
    <w:rsid w:val="00A03AC5"/>
    <w:rsid w:val="00A043D8"/>
    <w:rsid w:val="00A11CA2"/>
    <w:rsid w:val="00A15EE1"/>
    <w:rsid w:val="00A212BF"/>
    <w:rsid w:val="00A269E2"/>
    <w:rsid w:val="00A3597C"/>
    <w:rsid w:val="00A35D8A"/>
    <w:rsid w:val="00A40518"/>
    <w:rsid w:val="00A6012B"/>
    <w:rsid w:val="00A616C6"/>
    <w:rsid w:val="00A70A2B"/>
    <w:rsid w:val="00A742E6"/>
    <w:rsid w:val="00A84ACE"/>
    <w:rsid w:val="00A90B67"/>
    <w:rsid w:val="00A90D62"/>
    <w:rsid w:val="00AD001A"/>
    <w:rsid w:val="00AD2251"/>
    <w:rsid w:val="00AD475E"/>
    <w:rsid w:val="00AE1009"/>
    <w:rsid w:val="00AF68D9"/>
    <w:rsid w:val="00B1174D"/>
    <w:rsid w:val="00B13219"/>
    <w:rsid w:val="00B144A2"/>
    <w:rsid w:val="00B17603"/>
    <w:rsid w:val="00B3479F"/>
    <w:rsid w:val="00B3643A"/>
    <w:rsid w:val="00B42CB8"/>
    <w:rsid w:val="00B4480D"/>
    <w:rsid w:val="00B4737A"/>
    <w:rsid w:val="00B51C89"/>
    <w:rsid w:val="00B8511A"/>
    <w:rsid w:val="00B962F9"/>
    <w:rsid w:val="00B972B8"/>
    <w:rsid w:val="00BA1068"/>
    <w:rsid w:val="00BA3545"/>
    <w:rsid w:val="00BB088C"/>
    <w:rsid w:val="00BB329C"/>
    <w:rsid w:val="00BC094A"/>
    <w:rsid w:val="00BD164E"/>
    <w:rsid w:val="00BF10A6"/>
    <w:rsid w:val="00C04A77"/>
    <w:rsid w:val="00C05631"/>
    <w:rsid w:val="00C101AF"/>
    <w:rsid w:val="00C1642C"/>
    <w:rsid w:val="00C16B56"/>
    <w:rsid w:val="00C21708"/>
    <w:rsid w:val="00C25143"/>
    <w:rsid w:val="00C2583E"/>
    <w:rsid w:val="00C329C0"/>
    <w:rsid w:val="00C4006E"/>
    <w:rsid w:val="00C41782"/>
    <w:rsid w:val="00C5251B"/>
    <w:rsid w:val="00C54B4A"/>
    <w:rsid w:val="00C577C2"/>
    <w:rsid w:val="00C67510"/>
    <w:rsid w:val="00C70D1C"/>
    <w:rsid w:val="00C75030"/>
    <w:rsid w:val="00C835D5"/>
    <w:rsid w:val="00C92028"/>
    <w:rsid w:val="00C93F9F"/>
    <w:rsid w:val="00CA0992"/>
    <w:rsid w:val="00CB45DC"/>
    <w:rsid w:val="00CC2EFF"/>
    <w:rsid w:val="00CC6788"/>
    <w:rsid w:val="00CD0D84"/>
    <w:rsid w:val="00CD1880"/>
    <w:rsid w:val="00CE3A4F"/>
    <w:rsid w:val="00CE76B6"/>
    <w:rsid w:val="00CF2BB0"/>
    <w:rsid w:val="00CF43DF"/>
    <w:rsid w:val="00CF64C3"/>
    <w:rsid w:val="00D00D90"/>
    <w:rsid w:val="00D26D5F"/>
    <w:rsid w:val="00D37C2D"/>
    <w:rsid w:val="00D43B63"/>
    <w:rsid w:val="00D56F26"/>
    <w:rsid w:val="00D673F3"/>
    <w:rsid w:val="00D83912"/>
    <w:rsid w:val="00D87A5A"/>
    <w:rsid w:val="00D910F0"/>
    <w:rsid w:val="00DA2729"/>
    <w:rsid w:val="00DA2758"/>
    <w:rsid w:val="00DA7156"/>
    <w:rsid w:val="00DB729F"/>
    <w:rsid w:val="00DD03AB"/>
    <w:rsid w:val="00DD52E2"/>
    <w:rsid w:val="00DD56D1"/>
    <w:rsid w:val="00DE7E22"/>
    <w:rsid w:val="00E00661"/>
    <w:rsid w:val="00E14D36"/>
    <w:rsid w:val="00E168C2"/>
    <w:rsid w:val="00E20308"/>
    <w:rsid w:val="00E3266B"/>
    <w:rsid w:val="00E46554"/>
    <w:rsid w:val="00E53B3F"/>
    <w:rsid w:val="00E700C5"/>
    <w:rsid w:val="00E70299"/>
    <w:rsid w:val="00E718E9"/>
    <w:rsid w:val="00E818AB"/>
    <w:rsid w:val="00E82852"/>
    <w:rsid w:val="00E8336F"/>
    <w:rsid w:val="00E866AB"/>
    <w:rsid w:val="00E93138"/>
    <w:rsid w:val="00E93A1F"/>
    <w:rsid w:val="00E94A93"/>
    <w:rsid w:val="00EA103E"/>
    <w:rsid w:val="00EA199D"/>
    <w:rsid w:val="00EA7711"/>
    <w:rsid w:val="00EB53BE"/>
    <w:rsid w:val="00EB6420"/>
    <w:rsid w:val="00EC20A2"/>
    <w:rsid w:val="00EC25C1"/>
    <w:rsid w:val="00EC5DF9"/>
    <w:rsid w:val="00EC700B"/>
    <w:rsid w:val="00ED5551"/>
    <w:rsid w:val="00EE345D"/>
    <w:rsid w:val="00EF1572"/>
    <w:rsid w:val="00F001AF"/>
    <w:rsid w:val="00F005B3"/>
    <w:rsid w:val="00F048C1"/>
    <w:rsid w:val="00F051C0"/>
    <w:rsid w:val="00F067ED"/>
    <w:rsid w:val="00F06851"/>
    <w:rsid w:val="00F1196C"/>
    <w:rsid w:val="00F12DC3"/>
    <w:rsid w:val="00F21361"/>
    <w:rsid w:val="00F22E21"/>
    <w:rsid w:val="00F300B2"/>
    <w:rsid w:val="00F30B8C"/>
    <w:rsid w:val="00F31B53"/>
    <w:rsid w:val="00F322DE"/>
    <w:rsid w:val="00F43D98"/>
    <w:rsid w:val="00F513F3"/>
    <w:rsid w:val="00F63562"/>
    <w:rsid w:val="00F658E7"/>
    <w:rsid w:val="00F760A3"/>
    <w:rsid w:val="00F82965"/>
    <w:rsid w:val="00F86407"/>
    <w:rsid w:val="00FB38F9"/>
    <w:rsid w:val="00FB54E5"/>
    <w:rsid w:val="00FC211C"/>
    <w:rsid w:val="00FD2275"/>
    <w:rsid w:val="00FE6E71"/>
    <w:rsid w:val="00FF2B3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EE142"/>
  <w15:chartTrackingRefBased/>
  <w15:docId w15:val="{2C67CC36-F63C-4F3B-B263-AB536606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38"/>
  </w:style>
  <w:style w:type="paragraph" w:styleId="Heading1">
    <w:name w:val="heading 1"/>
    <w:basedOn w:val="Normal"/>
    <w:next w:val="Normal"/>
    <w:link w:val="Heading1Char"/>
    <w:uiPriority w:val="9"/>
    <w:qFormat/>
    <w:rsid w:val="00665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50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650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10A6"/>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CF43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43DF"/>
    <w:rPr>
      <w:b/>
      <w:bCs/>
    </w:rPr>
  </w:style>
  <w:style w:type="character" w:styleId="CommentReference">
    <w:name w:val="annotation reference"/>
    <w:basedOn w:val="DefaultParagraphFont"/>
    <w:uiPriority w:val="99"/>
    <w:semiHidden/>
    <w:unhideWhenUsed/>
    <w:rsid w:val="003948C4"/>
    <w:rPr>
      <w:sz w:val="16"/>
      <w:szCs w:val="16"/>
    </w:rPr>
  </w:style>
  <w:style w:type="paragraph" w:styleId="CommentText">
    <w:name w:val="annotation text"/>
    <w:basedOn w:val="Normal"/>
    <w:link w:val="CommentTextChar"/>
    <w:uiPriority w:val="99"/>
    <w:semiHidden/>
    <w:unhideWhenUsed/>
    <w:rsid w:val="003948C4"/>
    <w:pPr>
      <w:spacing w:line="240" w:lineRule="auto"/>
    </w:pPr>
    <w:rPr>
      <w:sz w:val="20"/>
      <w:szCs w:val="20"/>
    </w:rPr>
  </w:style>
  <w:style w:type="character" w:customStyle="1" w:styleId="CommentTextChar">
    <w:name w:val="Comment Text Char"/>
    <w:basedOn w:val="DefaultParagraphFont"/>
    <w:link w:val="CommentText"/>
    <w:uiPriority w:val="99"/>
    <w:semiHidden/>
    <w:rsid w:val="003948C4"/>
    <w:rPr>
      <w:sz w:val="20"/>
      <w:szCs w:val="20"/>
    </w:rPr>
  </w:style>
  <w:style w:type="paragraph" w:styleId="CommentSubject">
    <w:name w:val="annotation subject"/>
    <w:basedOn w:val="CommentText"/>
    <w:next w:val="CommentText"/>
    <w:link w:val="CommentSubjectChar"/>
    <w:uiPriority w:val="99"/>
    <w:semiHidden/>
    <w:unhideWhenUsed/>
    <w:rsid w:val="003948C4"/>
    <w:rPr>
      <w:b/>
      <w:bCs/>
    </w:rPr>
  </w:style>
  <w:style w:type="character" w:customStyle="1" w:styleId="CommentSubjectChar">
    <w:name w:val="Comment Subject Char"/>
    <w:basedOn w:val="CommentTextChar"/>
    <w:link w:val="CommentSubject"/>
    <w:uiPriority w:val="99"/>
    <w:semiHidden/>
    <w:rsid w:val="003948C4"/>
    <w:rPr>
      <w:b/>
      <w:bCs/>
      <w:sz w:val="20"/>
      <w:szCs w:val="20"/>
    </w:rPr>
  </w:style>
  <w:style w:type="paragraph" w:styleId="BalloonText">
    <w:name w:val="Balloon Text"/>
    <w:basedOn w:val="Normal"/>
    <w:link w:val="BalloonTextChar"/>
    <w:uiPriority w:val="99"/>
    <w:semiHidden/>
    <w:unhideWhenUsed/>
    <w:rsid w:val="00394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8C4"/>
    <w:rPr>
      <w:rFonts w:ascii="Segoe UI" w:hAnsi="Segoe UI" w:cs="Segoe UI"/>
      <w:sz w:val="18"/>
      <w:szCs w:val="18"/>
    </w:rPr>
  </w:style>
  <w:style w:type="character" w:styleId="Hyperlink">
    <w:name w:val="Hyperlink"/>
    <w:basedOn w:val="DefaultParagraphFont"/>
    <w:uiPriority w:val="99"/>
    <w:unhideWhenUsed/>
    <w:rsid w:val="008F36CC"/>
    <w:rPr>
      <w:color w:val="0563C1" w:themeColor="hyperlink"/>
      <w:u w:val="single"/>
    </w:rPr>
  </w:style>
  <w:style w:type="character" w:customStyle="1" w:styleId="UnresolvedMention1">
    <w:name w:val="Unresolved Mention1"/>
    <w:basedOn w:val="DefaultParagraphFont"/>
    <w:uiPriority w:val="99"/>
    <w:semiHidden/>
    <w:unhideWhenUsed/>
    <w:rsid w:val="008F36CC"/>
    <w:rPr>
      <w:color w:val="605E5C"/>
      <w:shd w:val="clear" w:color="auto" w:fill="E1DFDD"/>
    </w:rPr>
  </w:style>
  <w:style w:type="paragraph" w:styleId="Header">
    <w:name w:val="header"/>
    <w:basedOn w:val="Normal"/>
    <w:link w:val="HeaderChar"/>
    <w:uiPriority w:val="99"/>
    <w:unhideWhenUsed/>
    <w:rsid w:val="004E0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C06"/>
  </w:style>
  <w:style w:type="paragraph" w:styleId="Footer">
    <w:name w:val="footer"/>
    <w:basedOn w:val="Normal"/>
    <w:link w:val="FooterChar"/>
    <w:uiPriority w:val="99"/>
    <w:unhideWhenUsed/>
    <w:rsid w:val="004E0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C06"/>
  </w:style>
  <w:style w:type="paragraph" w:styleId="ListParagraph">
    <w:name w:val="List Paragraph"/>
    <w:basedOn w:val="Normal"/>
    <w:uiPriority w:val="34"/>
    <w:qFormat/>
    <w:rsid w:val="00F051C0"/>
    <w:pPr>
      <w:ind w:left="720"/>
      <w:contextualSpacing/>
    </w:pPr>
  </w:style>
  <w:style w:type="character" w:styleId="Emphasis">
    <w:name w:val="Emphasis"/>
    <w:basedOn w:val="DefaultParagraphFont"/>
    <w:uiPriority w:val="20"/>
    <w:qFormat/>
    <w:rsid w:val="00EB6420"/>
    <w:rPr>
      <w:i/>
      <w:iCs/>
    </w:rPr>
  </w:style>
  <w:style w:type="character" w:customStyle="1" w:styleId="Heading1Char">
    <w:name w:val="Heading 1 Char"/>
    <w:basedOn w:val="DefaultParagraphFont"/>
    <w:link w:val="Heading1"/>
    <w:uiPriority w:val="9"/>
    <w:rsid w:val="0066503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65038"/>
    <w:pPr>
      <w:outlineLvl w:val="9"/>
    </w:pPr>
    <w:rPr>
      <w:lang w:val="en-US" w:eastAsia="en-US"/>
    </w:rPr>
  </w:style>
  <w:style w:type="character" w:customStyle="1" w:styleId="Heading2Char">
    <w:name w:val="Heading 2 Char"/>
    <w:basedOn w:val="DefaultParagraphFont"/>
    <w:link w:val="Heading2"/>
    <w:uiPriority w:val="9"/>
    <w:rsid w:val="006650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65038"/>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665038"/>
    <w:pPr>
      <w:spacing w:after="100"/>
    </w:pPr>
  </w:style>
  <w:style w:type="paragraph" w:styleId="TOC2">
    <w:name w:val="toc 2"/>
    <w:basedOn w:val="Normal"/>
    <w:next w:val="Normal"/>
    <w:autoRedefine/>
    <w:uiPriority w:val="39"/>
    <w:unhideWhenUsed/>
    <w:rsid w:val="00665038"/>
    <w:pPr>
      <w:spacing w:after="100"/>
      <w:ind w:left="220"/>
    </w:pPr>
  </w:style>
  <w:style w:type="paragraph" w:styleId="TOC3">
    <w:name w:val="toc 3"/>
    <w:basedOn w:val="Normal"/>
    <w:next w:val="Normal"/>
    <w:autoRedefine/>
    <w:uiPriority w:val="39"/>
    <w:unhideWhenUsed/>
    <w:rsid w:val="00665038"/>
    <w:pPr>
      <w:spacing w:after="100"/>
      <w:ind w:left="440"/>
    </w:pPr>
  </w:style>
  <w:style w:type="table" w:styleId="TableGrid">
    <w:name w:val="Table Grid"/>
    <w:basedOn w:val="TableNormal"/>
    <w:uiPriority w:val="39"/>
    <w:rsid w:val="00900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8931">
      <w:bodyDiv w:val="1"/>
      <w:marLeft w:val="0"/>
      <w:marRight w:val="0"/>
      <w:marTop w:val="0"/>
      <w:marBottom w:val="0"/>
      <w:divBdr>
        <w:top w:val="none" w:sz="0" w:space="0" w:color="auto"/>
        <w:left w:val="none" w:sz="0" w:space="0" w:color="auto"/>
        <w:bottom w:val="none" w:sz="0" w:space="0" w:color="auto"/>
        <w:right w:val="none" w:sz="0" w:space="0" w:color="auto"/>
      </w:divBdr>
    </w:div>
    <w:div w:id="358244383">
      <w:bodyDiv w:val="1"/>
      <w:marLeft w:val="0"/>
      <w:marRight w:val="0"/>
      <w:marTop w:val="0"/>
      <w:marBottom w:val="0"/>
      <w:divBdr>
        <w:top w:val="none" w:sz="0" w:space="0" w:color="auto"/>
        <w:left w:val="none" w:sz="0" w:space="0" w:color="auto"/>
        <w:bottom w:val="none" w:sz="0" w:space="0" w:color="auto"/>
        <w:right w:val="none" w:sz="0" w:space="0" w:color="auto"/>
      </w:divBdr>
    </w:div>
    <w:div w:id="374085992">
      <w:bodyDiv w:val="1"/>
      <w:marLeft w:val="0"/>
      <w:marRight w:val="0"/>
      <w:marTop w:val="0"/>
      <w:marBottom w:val="0"/>
      <w:divBdr>
        <w:top w:val="none" w:sz="0" w:space="0" w:color="auto"/>
        <w:left w:val="none" w:sz="0" w:space="0" w:color="auto"/>
        <w:bottom w:val="none" w:sz="0" w:space="0" w:color="auto"/>
        <w:right w:val="none" w:sz="0" w:space="0" w:color="auto"/>
      </w:divBdr>
    </w:div>
    <w:div w:id="433206086">
      <w:bodyDiv w:val="1"/>
      <w:marLeft w:val="0"/>
      <w:marRight w:val="0"/>
      <w:marTop w:val="0"/>
      <w:marBottom w:val="0"/>
      <w:divBdr>
        <w:top w:val="none" w:sz="0" w:space="0" w:color="auto"/>
        <w:left w:val="none" w:sz="0" w:space="0" w:color="auto"/>
        <w:bottom w:val="none" w:sz="0" w:space="0" w:color="auto"/>
        <w:right w:val="none" w:sz="0" w:space="0" w:color="auto"/>
      </w:divBdr>
    </w:div>
    <w:div w:id="434398500">
      <w:bodyDiv w:val="1"/>
      <w:marLeft w:val="0"/>
      <w:marRight w:val="0"/>
      <w:marTop w:val="0"/>
      <w:marBottom w:val="0"/>
      <w:divBdr>
        <w:top w:val="none" w:sz="0" w:space="0" w:color="auto"/>
        <w:left w:val="none" w:sz="0" w:space="0" w:color="auto"/>
        <w:bottom w:val="none" w:sz="0" w:space="0" w:color="auto"/>
        <w:right w:val="none" w:sz="0" w:space="0" w:color="auto"/>
      </w:divBdr>
    </w:div>
    <w:div w:id="500514474">
      <w:bodyDiv w:val="1"/>
      <w:marLeft w:val="0"/>
      <w:marRight w:val="0"/>
      <w:marTop w:val="0"/>
      <w:marBottom w:val="0"/>
      <w:divBdr>
        <w:top w:val="none" w:sz="0" w:space="0" w:color="auto"/>
        <w:left w:val="none" w:sz="0" w:space="0" w:color="auto"/>
        <w:bottom w:val="none" w:sz="0" w:space="0" w:color="auto"/>
        <w:right w:val="none" w:sz="0" w:space="0" w:color="auto"/>
      </w:divBdr>
    </w:div>
    <w:div w:id="579753454">
      <w:bodyDiv w:val="1"/>
      <w:marLeft w:val="0"/>
      <w:marRight w:val="0"/>
      <w:marTop w:val="0"/>
      <w:marBottom w:val="0"/>
      <w:divBdr>
        <w:top w:val="none" w:sz="0" w:space="0" w:color="auto"/>
        <w:left w:val="none" w:sz="0" w:space="0" w:color="auto"/>
        <w:bottom w:val="none" w:sz="0" w:space="0" w:color="auto"/>
        <w:right w:val="none" w:sz="0" w:space="0" w:color="auto"/>
      </w:divBdr>
    </w:div>
    <w:div w:id="775835435">
      <w:bodyDiv w:val="1"/>
      <w:marLeft w:val="0"/>
      <w:marRight w:val="0"/>
      <w:marTop w:val="0"/>
      <w:marBottom w:val="0"/>
      <w:divBdr>
        <w:top w:val="none" w:sz="0" w:space="0" w:color="auto"/>
        <w:left w:val="none" w:sz="0" w:space="0" w:color="auto"/>
        <w:bottom w:val="none" w:sz="0" w:space="0" w:color="auto"/>
        <w:right w:val="none" w:sz="0" w:space="0" w:color="auto"/>
      </w:divBdr>
    </w:div>
    <w:div w:id="837119265">
      <w:bodyDiv w:val="1"/>
      <w:marLeft w:val="0"/>
      <w:marRight w:val="0"/>
      <w:marTop w:val="0"/>
      <w:marBottom w:val="0"/>
      <w:divBdr>
        <w:top w:val="none" w:sz="0" w:space="0" w:color="auto"/>
        <w:left w:val="none" w:sz="0" w:space="0" w:color="auto"/>
        <w:bottom w:val="none" w:sz="0" w:space="0" w:color="auto"/>
        <w:right w:val="none" w:sz="0" w:space="0" w:color="auto"/>
      </w:divBdr>
    </w:div>
    <w:div w:id="868643087">
      <w:bodyDiv w:val="1"/>
      <w:marLeft w:val="0"/>
      <w:marRight w:val="0"/>
      <w:marTop w:val="0"/>
      <w:marBottom w:val="0"/>
      <w:divBdr>
        <w:top w:val="none" w:sz="0" w:space="0" w:color="auto"/>
        <w:left w:val="none" w:sz="0" w:space="0" w:color="auto"/>
        <w:bottom w:val="none" w:sz="0" w:space="0" w:color="auto"/>
        <w:right w:val="none" w:sz="0" w:space="0" w:color="auto"/>
      </w:divBdr>
    </w:div>
    <w:div w:id="1214466896">
      <w:bodyDiv w:val="1"/>
      <w:marLeft w:val="0"/>
      <w:marRight w:val="0"/>
      <w:marTop w:val="0"/>
      <w:marBottom w:val="0"/>
      <w:divBdr>
        <w:top w:val="none" w:sz="0" w:space="0" w:color="auto"/>
        <w:left w:val="none" w:sz="0" w:space="0" w:color="auto"/>
        <w:bottom w:val="none" w:sz="0" w:space="0" w:color="auto"/>
        <w:right w:val="none" w:sz="0" w:space="0" w:color="auto"/>
      </w:divBdr>
    </w:div>
    <w:div w:id="1577474848">
      <w:bodyDiv w:val="1"/>
      <w:marLeft w:val="0"/>
      <w:marRight w:val="0"/>
      <w:marTop w:val="0"/>
      <w:marBottom w:val="0"/>
      <w:divBdr>
        <w:top w:val="none" w:sz="0" w:space="0" w:color="auto"/>
        <w:left w:val="none" w:sz="0" w:space="0" w:color="auto"/>
        <w:bottom w:val="none" w:sz="0" w:space="0" w:color="auto"/>
        <w:right w:val="none" w:sz="0" w:space="0" w:color="auto"/>
      </w:divBdr>
    </w:div>
    <w:div w:id="1704019602">
      <w:bodyDiv w:val="1"/>
      <w:marLeft w:val="0"/>
      <w:marRight w:val="0"/>
      <w:marTop w:val="0"/>
      <w:marBottom w:val="0"/>
      <w:divBdr>
        <w:top w:val="none" w:sz="0" w:space="0" w:color="auto"/>
        <w:left w:val="none" w:sz="0" w:space="0" w:color="auto"/>
        <w:bottom w:val="none" w:sz="0" w:space="0" w:color="auto"/>
        <w:right w:val="none" w:sz="0" w:space="0" w:color="auto"/>
      </w:divBdr>
      <w:divsChild>
        <w:div w:id="1605843012">
          <w:marLeft w:val="0"/>
          <w:marRight w:val="0"/>
          <w:marTop w:val="0"/>
          <w:marBottom w:val="0"/>
          <w:divBdr>
            <w:top w:val="none" w:sz="0" w:space="0" w:color="auto"/>
            <w:left w:val="none" w:sz="0" w:space="0" w:color="auto"/>
            <w:bottom w:val="none" w:sz="0" w:space="0" w:color="auto"/>
            <w:right w:val="none" w:sz="0" w:space="0" w:color="auto"/>
          </w:divBdr>
        </w:div>
        <w:div w:id="787971149">
          <w:marLeft w:val="0"/>
          <w:marRight w:val="0"/>
          <w:marTop w:val="0"/>
          <w:marBottom w:val="0"/>
          <w:divBdr>
            <w:top w:val="none" w:sz="0" w:space="0" w:color="auto"/>
            <w:left w:val="none" w:sz="0" w:space="0" w:color="auto"/>
            <w:bottom w:val="none" w:sz="0" w:space="0" w:color="auto"/>
            <w:right w:val="none" w:sz="0" w:space="0" w:color="auto"/>
          </w:divBdr>
        </w:div>
        <w:div w:id="969361091">
          <w:marLeft w:val="0"/>
          <w:marRight w:val="0"/>
          <w:marTop w:val="0"/>
          <w:marBottom w:val="0"/>
          <w:divBdr>
            <w:top w:val="none" w:sz="0" w:space="0" w:color="auto"/>
            <w:left w:val="none" w:sz="0" w:space="0" w:color="auto"/>
            <w:bottom w:val="none" w:sz="0" w:space="0" w:color="auto"/>
            <w:right w:val="none" w:sz="0" w:space="0" w:color="auto"/>
          </w:divBdr>
        </w:div>
        <w:div w:id="956909638">
          <w:marLeft w:val="0"/>
          <w:marRight w:val="0"/>
          <w:marTop w:val="0"/>
          <w:marBottom w:val="0"/>
          <w:divBdr>
            <w:top w:val="none" w:sz="0" w:space="0" w:color="auto"/>
            <w:left w:val="none" w:sz="0" w:space="0" w:color="auto"/>
            <w:bottom w:val="none" w:sz="0" w:space="0" w:color="auto"/>
            <w:right w:val="none" w:sz="0" w:space="0" w:color="auto"/>
          </w:divBdr>
        </w:div>
        <w:div w:id="1034576474">
          <w:marLeft w:val="0"/>
          <w:marRight w:val="0"/>
          <w:marTop w:val="0"/>
          <w:marBottom w:val="0"/>
          <w:divBdr>
            <w:top w:val="none" w:sz="0" w:space="0" w:color="auto"/>
            <w:left w:val="none" w:sz="0" w:space="0" w:color="auto"/>
            <w:bottom w:val="none" w:sz="0" w:space="0" w:color="auto"/>
            <w:right w:val="none" w:sz="0" w:space="0" w:color="auto"/>
          </w:divBdr>
        </w:div>
        <w:div w:id="858005166">
          <w:marLeft w:val="0"/>
          <w:marRight w:val="0"/>
          <w:marTop w:val="0"/>
          <w:marBottom w:val="0"/>
          <w:divBdr>
            <w:top w:val="none" w:sz="0" w:space="0" w:color="auto"/>
            <w:left w:val="none" w:sz="0" w:space="0" w:color="auto"/>
            <w:bottom w:val="none" w:sz="0" w:space="0" w:color="auto"/>
            <w:right w:val="none" w:sz="0" w:space="0" w:color="auto"/>
          </w:divBdr>
        </w:div>
        <w:div w:id="177739852">
          <w:marLeft w:val="0"/>
          <w:marRight w:val="0"/>
          <w:marTop w:val="0"/>
          <w:marBottom w:val="0"/>
          <w:divBdr>
            <w:top w:val="none" w:sz="0" w:space="0" w:color="auto"/>
            <w:left w:val="none" w:sz="0" w:space="0" w:color="auto"/>
            <w:bottom w:val="none" w:sz="0" w:space="0" w:color="auto"/>
            <w:right w:val="none" w:sz="0" w:space="0" w:color="auto"/>
          </w:divBdr>
        </w:div>
        <w:div w:id="707998042">
          <w:marLeft w:val="0"/>
          <w:marRight w:val="0"/>
          <w:marTop w:val="0"/>
          <w:marBottom w:val="0"/>
          <w:divBdr>
            <w:top w:val="none" w:sz="0" w:space="0" w:color="auto"/>
            <w:left w:val="none" w:sz="0" w:space="0" w:color="auto"/>
            <w:bottom w:val="none" w:sz="0" w:space="0" w:color="auto"/>
            <w:right w:val="none" w:sz="0" w:space="0" w:color="auto"/>
          </w:divBdr>
        </w:div>
      </w:divsChild>
    </w:div>
    <w:div w:id="188856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di.govt.nz/nz-disability-strategy/" TargetMode="External"/><Relationship Id="rId18" Type="http://schemas.openxmlformats.org/officeDocument/2006/relationships/hyperlink" Target="ttps://www.timeshighereducation.com/campus/belonging-why-it-next-step-equity-diversity-and-inclusion-ladd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di.govt.nz/nz-disability-strategy/" TargetMode="External"/><Relationship Id="rId17" Type="http://schemas.openxmlformats.org/officeDocument/2006/relationships/hyperlink" Target="https://www.waikato.ac.nz/teaching-and-learning/teaching-development/teaching-resources/inclusivity/universal-design-for-learning-udl/self-reflection-tools" TargetMode="External"/><Relationship Id="rId2" Type="http://schemas.openxmlformats.org/officeDocument/2006/relationships/numbering" Target="numbering.xml"/><Relationship Id="rId16" Type="http://schemas.openxmlformats.org/officeDocument/2006/relationships/hyperlink" Target="https://www.waikato.ac.nz/students/accessibility-serv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di.govt.nz/disability-action-plan-2/" TargetMode="External"/><Relationship Id="rId5" Type="http://schemas.openxmlformats.org/officeDocument/2006/relationships/webSettings" Target="webSettings.xml"/><Relationship Id="rId15" Type="http://schemas.openxmlformats.org/officeDocument/2006/relationships/hyperlink" Target="https://www.tec.govt.nz/focus/our-focus/tes/" TargetMode="External"/><Relationship Id="rId10" Type="http://schemas.openxmlformats.org/officeDocument/2006/relationships/hyperlink" Target="https://www.odi.govt.nz/disability-action-plan-2/" TargetMode="External"/><Relationship Id="rId19" Type="http://schemas.openxmlformats.org/officeDocument/2006/relationships/hyperlink" Target="https://www.waikato.ac.nz/about/governance/university-of-waikato-treaty-statement" TargetMode="External"/><Relationship Id="rId4" Type="http://schemas.openxmlformats.org/officeDocument/2006/relationships/settings" Target="settings.xml"/><Relationship Id="rId9" Type="http://schemas.openxmlformats.org/officeDocument/2006/relationships/hyperlink" Target="https://www.renews.co.nz/im-year-13-and-disabled-my-future-depends-on-how-accessible-nz-unis-are/" TargetMode="External"/><Relationship Id="rId14" Type="http://schemas.openxmlformats.org/officeDocument/2006/relationships/hyperlink" Target="https://www.tec.govt.nz/focus/our-focus/t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04133-64E1-4EFF-B9E7-6FD90387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8781</Words>
  <Characters>50052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Longhurst</dc:creator>
  <cp:keywords/>
  <dc:description/>
  <cp:lastModifiedBy>Robyn Longhurst</cp:lastModifiedBy>
  <cp:revision>4</cp:revision>
  <cp:lastPrinted>2022-11-28T21:22:00Z</cp:lastPrinted>
  <dcterms:created xsi:type="dcterms:W3CDTF">2022-12-05T21:47:00Z</dcterms:created>
  <dcterms:modified xsi:type="dcterms:W3CDTF">2022-12-05T21:56:00Z</dcterms:modified>
</cp:coreProperties>
</file>